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D8DE" w14:textId="77777777" w:rsidR="005C3C3F" w:rsidRPr="005A273B" w:rsidRDefault="005C3C3F" w:rsidP="005C3C3F">
      <w:pPr>
        <w:pStyle w:val="List1"/>
        <w:jc w:val="center"/>
        <w:rPr>
          <w:b/>
          <w:bCs/>
          <w:color w:val="525252" w:themeColor="accent3" w:themeShade="80"/>
        </w:rPr>
      </w:pPr>
      <w:r w:rsidRPr="005A273B">
        <w:rPr>
          <w:b/>
          <w:bCs/>
          <w:color w:val="525252" w:themeColor="accent3" w:themeShade="80"/>
        </w:rPr>
        <w:t>PROPUNERI PRIVIND MODIFICAREA LEGISLAȚIEI</w:t>
      </w:r>
    </w:p>
    <w:p w14:paraId="2BF68375" w14:textId="49941EF8" w:rsidR="005C3C3F" w:rsidRPr="005A273B" w:rsidRDefault="005C3C3F" w:rsidP="005C3C3F">
      <w:pPr>
        <w:pStyle w:val="List1"/>
        <w:jc w:val="center"/>
        <w:rPr>
          <w:b/>
          <w:bCs/>
          <w:color w:val="525252" w:themeColor="accent3" w:themeShade="80"/>
        </w:rPr>
      </w:pPr>
      <w:r w:rsidRPr="005A273B">
        <w:rPr>
          <w:b/>
          <w:bCs/>
          <w:color w:val="525252" w:themeColor="accent3" w:themeShade="80"/>
          <w:shd w:val="clear" w:color="auto" w:fill="FFFFFF"/>
        </w:rPr>
        <w:t xml:space="preserve">pentru </w:t>
      </w:r>
      <w:r w:rsidRPr="005A273B">
        <w:rPr>
          <w:b/>
          <w:bCs/>
          <w:color w:val="525252" w:themeColor="accent3" w:themeShade="80"/>
        </w:rPr>
        <w:t>repartizarea între Primăria Municipiului București și primăriile de sector a impozitelor pe venit și a taxelor și impozitelor locale colectate de la bucureșteni cu aprobarea Consiliului General al Municipiului București</w:t>
      </w:r>
    </w:p>
    <w:p w14:paraId="6DF40150" w14:textId="78BA0EF2" w:rsidR="005C3C3F" w:rsidRPr="005A273B" w:rsidRDefault="005C3C3F" w:rsidP="009369E2">
      <w:pPr>
        <w:pStyle w:val="Frspaiere"/>
        <w:spacing w:line="360" w:lineRule="auto"/>
        <w:jc w:val="both"/>
        <w:rPr>
          <w:rFonts w:ascii="Tahoma" w:hAnsi="Tahoma" w:cs="Tahoma"/>
          <w:b/>
          <w:bCs/>
          <w:color w:val="525252" w:themeColor="accent3" w:themeShade="80"/>
          <w:lang w:val="ro-RO"/>
        </w:rPr>
      </w:pP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 xml:space="preserve"> </w:t>
      </w:r>
    </w:p>
    <w:p w14:paraId="60FF34F7" w14:textId="77777777" w:rsidR="005C3C3F" w:rsidRPr="005A273B" w:rsidRDefault="005C3C3F" w:rsidP="009369E2">
      <w:pPr>
        <w:pStyle w:val="Frspaiere"/>
        <w:spacing w:line="360" w:lineRule="auto"/>
        <w:jc w:val="both"/>
        <w:rPr>
          <w:rFonts w:ascii="Tahoma" w:hAnsi="Tahoma" w:cs="Tahoma"/>
          <w:b/>
          <w:bCs/>
          <w:color w:val="525252" w:themeColor="accent3" w:themeShade="80"/>
          <w:lang w:val="ro-RO"/>
        </w:rPr>
      </w:pPr>
    </w:p>
    <w:p w14:paraId="532F5A45" w14:textId="3F64BC9B" w:rsidR="004740F6" w:rsidRPr="005A273B" w:rsidRDefault="004740F6" w:rsidP="009369E2">
      <w:pPr>
        <w:pStyle w:val="Frspaiere"/>
        <w:spacing w:line="360" w:lineRule="auto"/>
        <w:jc w:val="both"/>
        <w:rPr>
          <w:rFonts w:ascii="Tahoma" w:hAnsi="Tahoma" w:cs="Tahoma"/>
          <w:b/>
          <w:bCs/>
          <w:color w:val="525252" w:themeColor="accent3" w:themeShade="80"/>
          <w:lang w:val="ro-RO"/>
        </w:rPr>
      </w:pP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 xml:space="preserve">Art. </w:t>
      </w:r>
      <w:r w:rsidR="00024D17">
        <w:rPr>
          <w:rFonts w:ascii="Tahoma" w:hAnsi="Tahoma" w:cs="Tahoma"/>
          <w:b/>
          <w:bCs/>
          <w:color w:val="525252" w:themeColor="accent3" w:themeShade="80"/>
          <w:lang w:val="ro-RO"/>
        </w:rPr>
        <w:t>I</w:t>
      </w:r>
    </w:p>
    <w:p w14:paraId="5AA6FA82" w14:textId="7CFEA01C" w:rsidR="004740F6" w:rsidRPr="005A273B" w:rsidRDefault="004740F6" w:rsidP="009369E2">
      <w:pPr>
        <w:pStyle w:val="Frspaiere"/>
        <w:spacing w:line="360" w:lineRule="auto"/>
        <w:jc w:val="both"/>
        <w:rPr>
          <w:rFonts w:ascii="Tahoma" w:hAnsi="Tahoma" w:cs="Tahoma"/>
          <w:b/>
          <w:bCs/>
          <w:color w:val="525252" w:themeColor="accent3" w:themeShade="80"/>
          <w:lang w:val="ro-RO"/>
        </w:rPr>
      </w:pP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 xml:space="preserve">Legea nr. 227/2015 privind Codul fiscal, publicată în Monitorul Oficial al României, Partea I, nr. 688 din 10 septembrie 2015, cu modificările </w:t>
      </w:r>
      <w:proofErr w:type="spellStart"/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 xml:space="preserve"> completările ulterioare, se modifică după cum urmează:</w:t>
      </w:r>
    </w:p>
    <w:p w14:paraId="3764A448" w14:textId="77777777" w:rsidR="009369E2" w:rsidRPr="005A273B" w:rsidRDefault="009369E2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52E52737" w14:textId="192A375D" w:rsidR="004740F6" w:rsidRPr="005A273B" w:rsidRDefault="00911EE8" w:rsidP="00911EE8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1. </w:t>
      </w:r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 xml:space="preserve">La articolul 455, alineatul (3) se modifică </w:t>
      </w:r>
      <w:proofErr w:type="spellStart"/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 xml:space="preserve"> va avea următorul cuprins:</w:t>
      </w:r>
    </w:p>
    <w:p w14:paraId="442C70DB" w14:textId="2B0DAC04" w:rsidR="004740F6" w:rsidRPr="005A273B" w:rsidRDefault="004740F6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“(3)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Impozitul prevăzut la alin. (1), denumit în continuare impozit pe clădiri, precum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taxa pe clădiri prevăzută la alin. (2) se datorează către bugetul local al comunei, al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oraşului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sau al municipiului în care este amplasată clădirea. În cazul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impozitul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taxa pe clădiri </w:t>
      </w:r>
      <w:bookmarkStart w:id="0" w:name="_Hlk188452467"/>
      <w:r w:rsidR="009E6C31" w:rsidRPr="005A273B">
        <w:rPr>
          <w:rFonts w:ascii="Tahoma" w:hAnsi="Tahoma" w:cs="Tahoma"/>
          <w:color w:val="525252" w:themeColor="accent3" w:themeShade="80"/>
          <w:lang w:val="ro-RO"/>
        </w:rPr>
        <w:t xml:space="preserve">se fac venit la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bugetul </w:t>
      </w:r>
      <w:bookmarkEnd w:id="0"/>
      <w:r w:rsidRPr="005A273B">
        <w:rPr>
          <w:rFonts w:ascii="Tahoma" w:hAnsi="Tahoma" w:cs="Tahoma"/>
          <w:color w:val="525252" w:themeColor="accent3" w:themeShade="80"/>
          <w:lang w:val="ro-RO"/>
        </w:rPr>
        <w:t>local al municipiului București.”</w:t>
      </w:r>
    </w:p>
    <w:p w14:paraId="1A4DD7BF" w14:textId="77777777" w:rsidR="009369E2" w:rsidRPr="005A273B" w:rsidRDefault="009369E2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7638B416" w14:textId="7303D368" w:rsidR="004740F6" w:rsidRPr="005A273B" w:rsidRDefault="004740F6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2. La articolul 4</w:t>
      </w:r>
      <w:r w:rsidR="004872F4" w:rsidRPr="005A273B">
        <w:rPr>
          <w:rFonts w:ascii="Tahoma" w:hAnsi="Tahoma" w:cs="Tahoma"/>
          <w:color w:val="525252" w:themeColor="accent3" w:themeShade="80"/>
          <w:lang w:val="ro-RO"/>
        </w:rPr>
        <w:t>63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alineatul (3) se modifică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va avea următorul cuprins:</w:t>
      </w:r>
    </w:p>
    <w:p w14:paraId="1967C1FF" w14:textId="468CD8AA" w:rsidR="004740F6" w:rsidRPr="005A273B" w:rsidRDefault="004872F4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“</w:t>
      </w:r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>(3)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 xml:space="preserve">Impozitul prevăzut la alin. (1), denumit în continuare impozit pe teren, precum </w:t>
      </w:r>
      <w:proofErr w:type="spellStart"/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 xml:space="preserve"> taxa pe teren prevăzută la alin. (2) se datorează către bugetul local al comunei, al </w:t>
      </w:r>
      <w:proofErr w:type="spellStart"/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>oraşului</w:t>
      </w:r>
      <w:proofErr w:type="spellEnd"/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 xml:space="preserve"> sau al municipiului în care este amplasat terenul. În cazul municipiului </w:t>
      </w:r>
      <w:proofErr w:type="spellStart"/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 xml:space="preserve">, impozitul </w:t>
      </w:r>
      <w:proofErr w:type="spellStart"/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 xml:space="preserve"> taxa pe teren </w:t>
      </w:r>
      <w:r w:rsidR="009E6C31" w:rsidRPr="005A273B">
        <w:rPr>
          <w:rFonts w:ascii="Tahoma" w:hAnsi="Tahoma" w:cs="Tahoma"/>
          <w:color w:val="525252" w:themeColor="accent3" w:themeShade="80"/>
          <w:lang w:val="ro-RO"/>
        </w:rPr>
        <w:t xml:space="preserve">se fac venit la bugetul </w:t>
      </w:r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 xml:space="preserve">local al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municipiului București</w:t>
      </w:r>
      <w:r w:rsidR="004740F6" w:rsidRPr="005A273B">
        <w:rPr>
          <w:rFonts w:ascii="Tahoma" w:hAnsi="Tahoma" w:cs="Tahoma"/>
          <w:color w:val="525252" w:themeColor="accent3" w:themeShade="80"/>
          <w:lang w:val="ro-RO"/>
        </w:rPr>
        <w:t>.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”</w:t>
      </w:r>
    </w:p>
    <w:p w14:paraId="22FC0B8C" w14:textId="77777777" w:rsidR="009369E2" w:rsidRPr="005A273B" w:rsidRDefault="009369E2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1B6E85DA" w14:textId="43DEB219" w:rsidR="004872F4" w:rsidRPr="005A273B" w:rsidRDefault="004872F4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3. La articolul 46</w:t>
      </w:r>
      <w:r w:rsidR="00AB61EC" w:rsidRPr="005A273B">
        <w:rPr>
          <w:rFonts w:ascii="Tahoma" w:hAnsi="Tahoma" w:cs="Tahoma"/>
          <w:color w:val="525252" w:themeColor="accent3" w:themeShade="80"/>
          <w:lang w:val="ro-RO"/>
        </w:rPr>
        <w:t>8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alineatul (3) se modifică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va avea următorul cuprins:</w:t>
      </w:r>
    </w:p>
    <w:p w14:paraId="56D17FCC" w14:textId="31BB05E3" w:rsidR="004872F4" w:rsidRPr="005A273B" w:rsidRDefault="004872F4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“(3)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Impozitul pe mijloacele de transport se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plăteşte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la bugetul local al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unităţii</w:t>
      </w:r>
      <w:proofErr w:type="spellEnd"/>
      <w:r w:rsidR="00900A2D" w:rsidRPr="005A273B">
        <w:rPr>
          <w:rFonts w:ascii="Tahoma" w:hAnsi="Tahoma" w:cs="Tahoma"/>
          <w:color w:val="525252" w:themeColor="accent3" w:themeShade="80"/>
          <w:lang w:val="ro-RO"/>
        </w:rPr>
        <w:t>/subdiviziunii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 teritoriale unde persoana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îşi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are domiciliul, sediul sau punctul de lucru, după caz. În cazul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</w:t>
      </w:r>
      <w:r w:rsidR="009E6C31" w:rsidRPr="005A273B">
        <w:rPr>
          <w:rFonts w:ascii="Tahoma" w:hAnsi="Tahoma" w:cs="Tahoma"/>
          <w:color w:val="525252" w:themeColor="accent3" w:themeShade="80"/>
          <w:lang w:val="ro-RO"/>
        </w:rPr>
        <w:t xml:space="preserve">impozitul pe 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mijloacele de transport </w:t>
      </w:r>
      <w:r w:rsidR="009E6C31" w:rsidRPr="005A273B">
        <w:rPr>
          <w:rFonts w:ascii="Tahoma" w:hAnsi="Tahoma" w:cs="Tahoma"/>
          <w:color w:val="525252" w:themeColor="accent3" w:themeShade="80"/>
          <w:lang w:val="ro-RO"/>
        </w:rPr>
        <w:t xml:space="preserve">se face venit la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bugetul local al municipiului București.”</w:t>
      </w:r>
    </w:p>
    <w:p w14:paraId="69195D3F" w14:textId="77777777" w:rsidR="00AB61EC" w:rsidRPr="005A273B" w:rsidRDefault="00AB61EC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42D08052" w14:textId="75C5729B" w:rsidR="008069E1" w:rsidRPr="005A273B" w:rsidRDefault="001B6BD0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4</w:t>
      </w:r>
      <w:r w:rsidR="008069E1" w:rsidRPr="005A273B">
        <w:rPr>
          <w:rFonts w:ascii="Tahoma" w:hAnsi="Tahoma" w:cs="Tahoma"/>
          <w:color w:val="525252" w:themeColor="accent3" w:themeShade="80"/>
          <w:lang w:val="ro-RO"/>
        </w:rPr>
        <w:t>.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="008069E1" w:rsidRPr="005A273B">
        <w:rPr>
          <w:rFonts w:ascii="Tahoma" w:hAnsi="Tahoma" w:cs="Tahoma"/>
          <w:color w:val="525252" w:themeColor="accent3" w:themeShade="80"/>
          <w:lang w:val="ro-RO"/>
        </w:rPr>
        <w:t xml:space="preserve">La articolul 475, alineatele (1) 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>-</w:t>
      </w:r>
      <w:r w:rsidR="008069E1" w:rsidRPr="005A273B">
        <w:rPr>
          <w:rFonts w:ascii="Tahoma" w:hAnsi="Tahoma" w:cs="Tahoma"/>
          <w:color w:val="525252" w:themeColor="accent3" w:themeShade="80"/>
          <w:lang w:val="ro-RO"/>
        </w:rPr>
        <w:t xml:space="preserve"> (4) se modifică </w:t>
      </w:r>
      <w:proofErr w:type="spellStart"/>
      <w:r w:rsidR="008069E1"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="008069E1" w:rsidRPr="005A273B">
        <w:rPr>
          <w:rFonts w:ascii="Tahoma" w:hAnsi="Tahoma" w:cs="Tahoma"/>
          <w:color w:val="525252" w:themeColor="accent3" w:themeShade="80"/>
          <w:lang w:val="ro-RO"/>
        </w:rPr>
        <w:t xml:space="preserve"> vor avea următorul cuprins:</w:t>
      </w:r>
    </w:p>
    <w:p w14:paraId="53D79D1C" w14:textId="32CAA0D7" w:rsidR="008069E1" w:rsidRPr="005A273B" w:rsidRDefault="008069E1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“(1)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Taxa pentru eliberarea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autorizaţiilor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sanitare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funcţionare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stabileşte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consiliul local, respectiv de Consiliul General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este de până la 20 lei, inclusiv.</w:t>
      </w:r>
    </w:p>
    <w:p w14:paraId="11B3146A" w14:textId="22892DC0" w:rsidR="008069E1" w:rsidRPr="005A273B" w:rsidRDefault="008069E1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lastRenderedPageBreak/>
        <w:t>(2)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Taxele pentru eliberarea atestatului de producător, respectiv pentru eliberarea carnetului de comercializare a produselor din sectorul agricol se stabilesc de către consiliile locale, respectiv de Consiliul General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sunt de până la 80 lei, inclusiv.</w:t>
      </w:r>
    </w:p>
    <w:p w14:paraId="1E22E6CC" w14:textId="03ACE9D5" w:rsidR="008069E1" w:rsidRPr="005A273B" w:rsidRDefault="008069E1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(3)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Persoanele a căror activitate este înregistrată în grupele CAEN 561 - Restaurante, 563 - Baruri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alte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activităţi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servire a băuturilor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932 - Alte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activităţi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recreative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distractive, potrivit Clasificării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activităţilor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din economia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naţională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- CAEN, actualizată prin Ordinul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preşedintelui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Institutului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Naţional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Statistică nr. 337/2007 privind actualizarea Clasificării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activităţilor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din economia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naţională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- CAEN, datorează bugetului local al comunei,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oraşului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municipiului sau municipiului București, după caz, în a cărui rază administrativ-teritorială se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desfăşoară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activitatea, o taxă pentru eliberarea/vizarea anuală a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autorizaţiei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privind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desfăşurarea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acestor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activităţi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în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funcţie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suprafaţa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aferentă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activităţilor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respective, în sumă de:</w:t>
      </w:r>
    </w:p>
    <w:p w14:paraId="3BFCF41B" w14:textId="1B934402" w:rsidR="008069E1" w:rsidRPr="005A273B" w:rsidRDefault="008069E1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a)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până la 4.000 lei, pentru o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suprafaţă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până la 500 m</w:t>
      </w:r>
      <w:r w:rsidRPr="005A273B">
        <w:rPr>
          <w:rFonts w:ascii="Tahoma" w:hAnsi="Tahoma" w:cs="Tahoma"/>
          <w:color w:val="525252" w:themeColor="accent3" w:themeShade="80"/>
          <w:vertAlign w:val="superscript"/>
          <w:lang w:val="ro-RO"/>
        </w:rPr>
        <w:t>2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, inclusiv;</w:t>
      </w:r>
    </w:p>
    <w:p w14:paraId="722D7B09" w14:textId="7BA4B9F8" w:rsidR="008069E1" w:rsidRPr="005A273B" w:rsidRDefault="008069E1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b)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până la 8.000 lei pentru o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suprafaţă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mai mare de 500 m</w:t>
      </w:r>
      <w:r w:rsidRPr="005A273B">
        <w:rPr>
          <w:rFonts w:ascii="Tahoma" w:hAnsi="Tahoma" w:cs="Tahoma"/>
          <w:color w:val="525252" w:themeColor="accent3" w:themeShade="80"/>
          <w:vertAlign w:val="superscript"/>
          <w:lang w:val="ro-RO"/>
        </w:rPr>
        <w:t>2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55D5F032" w14:textId="797F569A" w:rsidR="008069E1" w:rsidRPr="005A273B" w:rsidRDefault="008069E1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(4)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Nivelul taxei prevăzute la alin. (3) se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stabileşte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prin hotărâre a consiliului local. La nivelul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această taxă se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stabileşte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către Consiliul General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se face venit la bugetul local al </w:t>
      </w:r>
      <w:r w:rsidR="000232B3" w:rsidRPr="005A273B">
        <w:rPr>
          <w:rFonts w:ascii="Tahoma" w:hAnsi="Tahoma" w:cs="Tahoma"/>
          <w:color w:val="525252" w:themeColor="accent3" w:themeShade="80"/>
          <w:lang w:val="ro-RO"/>
        </w:rPr>
        <w:t xml:space="preserve">municipiului </w:t>
      </w:r>
      <w:proofErr w:type="spellStart"/>
      <w:r w:rsidR="000232B3"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="000232B3" w:rsidRPr="005A273B">
        <w:rPr>
          <w:rFonts w:ascii="Tahoma" w:hAnsi="Tahoma" w:cs="Tahoma"/>
          <w:color w:val="525252" w:themeColor="accent3" w:themeShade="80"/>
          <w:lang w:val="ro-RO"/>
        </w:rPr>
        <w:t>.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”</w:t>
      </w:r>
    </w:p>
    <w:p w14:paraId="67EF5D44" w14:textId="77777777" w:rsidR="00AB61EC" w:rsidRPr="005A273B" w:rsidRDefault="00AB61EC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3CA64BD0" w14:textId="7B7E3106" w:rsidR="000232B3" w:rsidRPr="005A273B" w:rsidRDefault="001B6BD0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5</w:t>
      </w:r>
      <w:r w:rsidR="000232B3" w:rsidRPr="005A273B">
        <w:rPr>
          <w:rFonts w:ascii="Tahoma" w:hAnsi="Tahoma" w:cs="Tahoma"/>
          <w:color w:val="525252" w:themeColor="accent3" w:themeShade="80"/>
          <w:lang w:val="ro-RO"/>
        </w:rPr>
        <w:t xml:space="preserve">. La articolul 477, alineatele (3), (5) și (7) se modifică </w:t>
      </w:r>
      <w:proofErr w:type="spellStart"/>
      <w:r w:rsidR="000232B3"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="000232B3" w:rsidRPr="005A273B">
        <w:rPr>
          <w:rFonts w:ascii="Tahoma" w:hAnsi="Tahoma" w:cs="Tahoma"/>
          <w:color w:val="525252" w:themeColor="accent3" w:themeShade="80"/>
          <w:lang w:val="ro-RO"/>
        </w:rPr>
        <w:t xml:space="preserve"> vor avea următorul cuprins:</w:t>
      </w:r>
    </w:p>
    <w:p w14:paraId="50E97EED" w14:textId="252A475C" w:rsidR="000232B3" w:rsidRPr="005A273B" w:rsidRDefault="000232B3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“(3)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Taxa prevăzută în prezentul articol, denumită în continuare taxa pentru servicii de reclamă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publicitate, se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plăteşte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la bugetul local al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unităţii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administrativ-teritoriale în raza căreia persoana prestează serviciile de reclamă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publicitate. La nivelul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această taxă se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stabileşte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către Consiliul General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se face venit la bugetul local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1CE9685F" w14:textId="6200602C" w:rsidR="000232B3" w:rsidRPr="005A273B" w:rsidRDefault="000232B3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(5)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Cota taxei se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stabileşte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consiliul local, respectiv de Consiliul General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fiind cuprinsă între 1%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3%.</w:t>
      </w:r>
    </w:p>
    <w:p w14:paraId="120FC49C" w14:textId="5E754AAF" w:rsidR="000232B3" w:rsidRPr="005A273B" w:rsidRDefault="000232B3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(7)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Taxa pentru servicii de reclamă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publicitate prevăzută la alin. (1) se declară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plăteşte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către prestatorul serviciului de reclamă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publicitate la bugetul local, respectiv la </w:t>
      </w:r>
      <w:r w:rsidR="007C2D1A" w:rsidRPr="005A273B">
        <w:rPr>
          <w:rFonts w:ascii="Tahoma" w:hAnsi="Tahoma" w:cs="Tahoma"/>
          <w:color w:val="525252" w:themeColor="accent3" w:themeShade="80"/>
          <w:lang w:val="ro-RO"/>
        </w:rPr>
        <w:t xml:space="preserve">subdiviziunea </w:t>
      </w:r>
      <w:proofErr w:type="spellStart"/>
      <w:r w:rsidR="007C2D1A" w:rsidRPr="005A273B">
        <w:rPr>
          <w:rFonts w:ascii="Tahoma" w:hAnsi="Tahoma" w:cs="Tahoma"/>
          <w:color w:val="525252" w:themeColor="accent3" w:themeShade="80"/>
          <w:lang w:val="ro-RO"/>
        </w:rPr>
        <w:t>unitații</w:t>
      </w:r>
      <w:proofErr w:type="spellEnd"/>
      <w:r w:rsidR="007C2D1A"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 teritorială a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municipiului București, lunar, până la data de 10 a lunii următoare celei în care a intrat în vigoare contractul de prestări de servicii de reclamă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publicitate.”</w:t>
      </w:r>
      <w:r w:rsidR="008C2CF4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</w:p>
    <w:p w14:paraId="044F7BFE" w14:textId="77777777" w:rsidR="00AB61EC" w:rsidRPr="005A273B" w:rsidRDefault="00AB61EC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7FCA27F8" w14:textId="2FB87AE6" w:rsidR="00AB61EC" w:rsidRPr="005A273B" w:rsidRDefault="001B6BD0" w:rsidP="00AB61EC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6</w:t>
      </w:r>
      <w:r w:rsidR="00AB61EC" w:rsidRPr="005A273B">
        <w:rPr>
          <w:rFonts w:ascii="Tahoma" w:hAnsi="Tahoma" w:cs="Tahoma"/>
          <w:color w:val="525252" w:themeColor="accent3" w:themeShade="80"/>
          <w:lang w:val="ro-RO"/>
        </w:rPr>
        <w:t xml:space="preserve">. La articolul 478, alineatul (1) se modifică </w:t>
      </w:r>
      <w:proofErr w:type="spellStart"/>
      <w:r w:rsidR="00AB61EC"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="00AB61EC" w:rsidRPr="005A273B">
        <w:rPr>
          <w:rFonts w:ascii="Tahoma" w:hAnsi="Tahoma" w:cs="Tahoma"/>
          <w:color w:val="525252" w:themeColor="accent3" w:themeShade="80"/>
          <w:lang w:val="ro-RO"/>
        </w:rPr>
        <w:t xml:space="preserve"> va avea următorul cuprins:</w:t>
      </w:r>
    </w:p>
    <w:p w14:paraId="41496578" w14:textId="30D9D309" w:rsidR="00AB61EC" w:rsidRPr="005A273B" w:rsidRDefault="00AB61EC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lastRenderedPageBreak/>
        <w:t>“(1)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Orice persoană care utilizează un panou, un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afişaj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sau o structură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afişaj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pentru reclamă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publicitate, cu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excepţia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celei care intră sub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incidenţa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art. 477, datorează plata taxei anuale prevăzute în prezentul articol către bugetul local al comunei, al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oraşului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sau al municipiului, după caz, în raza căreia/căruia este amplasat panoul,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afişajul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sau structura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afişaj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respectivă. La nivelul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>, această taxă revine bugetului municipiului București.”</w:t>
      </w:r>
    </w:p>
    <w:p w14:paraId="195ACAB2" w14:textId="77777777" w:rsidR="00AB61EC" w:rsidRPr="005A273B" w:rsidRDefault="00AB61EC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2A32528F" w14:textId="31394B7E" w:rsidR="000232B3" w:rsidRPr="005A273B" w:rsidRDefault="001B6BD0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7</w:t>
      </w:r>
      <w:r w:rsidR="000232B3" w:rsidRPr="005A273B">
        <w:rPr>
          <w:rFonts w:ascii="Tahoma" w:hAnsi="Tahoma" w:cs="Tahoma"/>
          <w:color w:val="525252" w:themeColor="accent3" w:themeShade="80"/>
          <w:lang w:val="ro-RO"/>
        </w:rPr>
        <w:t xml:space="preserve">. La articolul 480, alineatul (2) se modifică </w:t>
      </w:r>
      <w:proofErr w:type="spellStart"/>
      <w:r w:rsidR="000232B3"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="000232B3" w:rsidRPr="005A273B">
        <w:rPr>
          <w:rFonts w:ascii="Tahoma" w:hAnsi="Tahoma" w:cs="Tahoma"/>
          <w:color w:val="525252" w:themeColor="accent3" w:themeShade="80"/>
          <w:lang w:val="ro-RO"/>
        </w:rPr>
        <w:t xml:space="preserve"> va avea următorul cuprins: </w:t>
      </w:r>
    </w:p>
    <w:p w14:paraId="4A89BEA2" w14:textId="742560D2" w:rsidR="000232B3" w:rsidRPr="005A273B" w:rsidRDefault="000232B3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“(2)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Impozitul pe spectacole se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plăteşte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la bugetul local al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unităţii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administrativ-teritoriale în raza căreia are loc manifestarea artistică,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competiţia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sportivă sau altă activitate distractivă. La nivelul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impozitul pe spectacole </w:t>
      </w:r>
      <w:r w:rsidRPr="005A273B">
        <w:rPr>
          <w:rFonts w:ascii="Tahoma" w:hAnsi="Tahoma" w:cs="Tahoma"/>
          <w:strike/>
          <w:color w:val="525252" w:themeColor="accent3" w:themeShade="80"/>
          <w:lang w:val="ro-RO"/>
        </w:rPr>
        <w:t>este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="00BA4D50" w:rsidRPr="005A273B">
        <w:rPr>
          <w:rFonts w:ascii="Tahoma" w:hAnsi="Tahoma" w:cs="Tahoma"/>
          <w:color w:val="525252" w:themeColor="accent3" w:themeShade="80"/>
          <w:lang w:val="ro-RO"/>
        </w:rPr>
        <w:t xml:space="preserve">se </w:t>
      </w:r>
      <w:r w:rsidR="00FB6C78" w:rsidRPr="005A273B">
        <w:rPr>
          <w:rFonts w:ascii="Tahoma" w:hAnsi="Tahoma" w:cs="Tahoma"/>
          <w:color w:val="525252" w:themeColor="accent3" w:themeShade="80"/>
          <w:lang w:val="ro-RO"/>
        </w:rPr>
        <w:t xml:space="preserve">constituie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venit al bugetului local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>.”</w:t>
      </w:r>
    </w:p>
    <w:p w14:paraId="7A7CFD89" w14:textId="77777777" w:rsidR="00AB61EC" w:rsidRPr="005A273B" w:rsidRDefault="00AB61EC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2D514FB2" w14:textId="13550460" w:rsidR="00537AE5" w:rsidRPr="005A273B" w:rsidRDefault="001B6BD0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8</w:t>
      </w:r>
      <w:r w:rsidR="000232B3" w:rsidRPr="005A273B">
        <w:rPr>
          <w:rFonts w:ascii="Tahoma" w:hAnsi="Tahoma" w:cs="Tahoma"/>
          <w:color w:val="525252" w:themeColor="accent3" w:themeShade="80"/>
          <w:lang w:val="ro-RO"/>
        </w:rPr>
        <w:t xml:space="preserve">. </w:t>
      </w:r>
      <w:r w:rsidR="00537AE5" w:rsidRPr="005A273B">
        <w:rPr>
          <w:rFonts w:ascii="Tahoma" w:hAnsi="Tahoma" w:cs="Tahoma"/>
          <w:color w:val="525252" w:themeColor="accent3" w:themeShade="80"/>
          <w:lang w:val="ro-RO"/>
        </w:rPr>
        <w:t>La articolul 4</w:t>
      </w:r>
      <w:r w:rsidR="004B04AB" w:rsidRPr="005A273B">
        <w:rPr>
          <w:rFonts w:ascii="Tahoma" w:hAnsi="Tahoma" w:cs="Tahoma"/>
          <w:color w:val="525252" w:themeColor="accent3" w:themeShade="80"/>
          <w:lang w:val="ro-RO"/>
        </w:rPr>
        <w:t>86</w:t>
      </w:r>
      <w:r w:rsidR="00537AE5" w:rsidRPr="005A273B">
        <w:rPr>
          <w:rFonts w:ascii="Tahoma" w:hAnsi="Tahoma" w:cs="Tahoma"/>
          <w:color w:val="525252" w:themeColor="accent3" w:themeShade="80"/>
          <w:lang w:val="ro-RO"/>
        </w:rPr>
        <w:t>, alineatele (2), (4)</w:t>
      </w:r>
      <w:r w:rsidR="004B04AB" w:rsidRPr="005A273B">
        <w:rPr>
          <w:rFonts w:ascii="Tahoma" w:hAnsi="Tahoma" w:cs="Tahoma"/>
          <w:color w:val="525252" w:themeColor="accent3" w:themeShade="80"/>
          <w:lang w:val="ro-RO"/>
        </w:rPr>
        <w:t>,</w:t>
      </w:r>
      <w:r w:rsidR="00537AE5" w:rsidRPr="005A273B">
        <w:rPr>
          <w:rFonts w:ascii="Tahoma" w:hAnsi="Tahoma" w:cs="Tahoma"/>
          <w:color w:val="525252" w:themeColor="accent3" w:themeShade="80"/>
          <w:lang w:val="ro-RO"/>
        </w:rPr>
        <w:t xml:space="preserve"> (5) și (6) se modifică </w:t>
      </w:r>
      <w:proofErr w:type="spellStart"/>
      <w:r w:rsidR="00537AE5"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="00537AE5" w:rsidRPr="005A273B">
        <w:rPr>
          <w:rFonts w:ascii="Tahoma" w:hAnsi="Tahoma" w:cs="Tahoma"/>
          <w:color w:val="525252" w:themeColor="accent3" w:themeShade="80"/>
          <w:lang w:val="ro-RO"/>
        </w:rPr>
        <w:t xml:space="preserve"> vor avea următorul cuprins:</w:t>
      </w:r>
    </w:p>
    <w:p w14:paraId="1DB980CB" w14:textId="22CD1F07" w:rsidR="000232B3" w:rsidRPr="005A273B" w:rsidRDefault="000232B3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“(2)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Consiliile locale pot institui taxe pentru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deţinerea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sau utilizarea echipamentelor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utilajelor destinate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obţinerii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venituri care folosesc infrastructura publică locală, pe raza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localităţii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unde acestea sunt utilizate, precum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taxe pentru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activităţile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cu impact asupra mediului înconjurător. În municipiul București taxele pot fi instituite de către Consiliul General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1B14E7D8" w14:textId="033DB03E" w:rsidR="000232B3" w:rsidRPr="005A273B" w:rsidRDefault="000232B3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(4)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Taxa pentru îndeplinirea procedurii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divorţ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pe cale administrativă este în cuantum de 500 lei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poate fi majorată prin hotărâre a consiliului local, fără ca majorarea să poată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depăşi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50% din această valoare. Taxa se face venit la bugetul local. În municipiul București taxa poate fi majorată de către Consiliul General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și se face venit al bugetului 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local al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municipiului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București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2E85C2C2" w14:textId="61061FC0" w:rsidR="000232B3" w:rsidRPr="005A273B" w:rsidRDefault="000232B3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(5)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Pentru eliberarea de copii heliografice de pe planuri cadastrale sau de pe alte asemenea planuri,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deţinute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consiliile locale, consiliul local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stabileşte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o taxă de până la 32 lei, inclusiv.</w:t>
      </w:r>
    </w:p>
    <w:p w14:paraId="5C8D4F03" w14:textId="42FCE85C" w:rsidR="000232B3" w:rsidRPr="005A273B" w:rsidRDefault="000232B3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(6)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Prin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excepţie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la prevederile alin. (1), consiliile locale și Consiliul General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după caz, pot institui taxa pentru reabilitare termică a blocurilor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locuinţe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locuinţelor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unifamiliale, pentru care s-au alocat sume aferente cotei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contribuţie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 proprietarilor, în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condiţiile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Ordonanţei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urgenţă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 Guvernului nr. 18/2009, aprobată cu modificări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completări prin Legea nr. 158/2011, cu modificările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completările ulterioare.”</w:t>
      </w:r>
    </w:p>
    <w:p w14:paraId="654CE2EA" w14:textId="77777777" w:rsidR="00AB61EC" w:rsidRPr="005A273B" w:rsidRDefault="00AB61EC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465FF4F5" w14:textId="5606B6D8" w:rsidR="00336677" w:rsidRPr="005A273B" w:rsidRDefault="001B6BD0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9</w:t>
      </w:r>
      <w:r w:rsidR="00336677" w:rsidRPr="005A273B">
        <w:rPr>
          <w:rFonts w:ascii="Tahoma" w:hAnsi="Tahoma" w:cs="Tahoma"/>
          <w:color w:val="525252" w:themeColor="accent3" w:themeShade="80"/>
          <w:lang w:val="ro-RO"/>
        </w:rPr>
        <w:t xml:space="preserve">. Articolul 488 se modifică </w:t>
      </w:r>
      <w:proofErr w:type="spellStart"/>
      <w:r w:rsidR="00336677"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="00336677" w:rsidRPr="005A273B">
        <w:rPr>
          <w:rFonts w:ascii="Tahoma" w:hAnsi="Tahoma" w:cs="Tahoma"/>
          <w:color w:val="525252" w:themeColor="accent3" w:themeShade="80"/>
          <w:lang w:val="ro-RO"/>
        </w:rPr>
        <w:t xml:space="preserve"> va avea următorul cuprins:</w:t>
      </w:r>
    </w:p>
    <w:p w14:paraId="1DA2D789" w14:textId="7E9976A5" w:rsidR="00336677" w:rsidRPr="005A273B" w:rsidRDefault="00336677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lastRenderedPageBreak/>
        <w:t xml:space="preserve">“În cazul persoanelor fizice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juridice care încheie contracte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fiducie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conform Codului civil, impozitele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taxele locale aferente masei patrimoniale fiduciare transferate în cadrul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operaţiunii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fiducie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sunt plătite de către fiduciar la bugetele locale ale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unităţilor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administrativ-teritoriale unde sunt înregistrate bunurile care fac obiectul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operaţiunii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fiducie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cu respectarea prevederilor prezentului titlu, începând cu data de 1 ianuarie a anului următor celui în care a fost încheiat contractul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fiducie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. La nivelul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impozitele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taxele locale aferente masei patrimoniale fiduciare transferate în cadrul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operaţiunii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fiducie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sunt venituri ale bugetului local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>.”</w:t>
      </w:r>
    </w:p>
    <w:p w14:paraId="0F3B4709" w14:textId="77777777" w:rsidR="00AB61EC" w:rsidRPr="005A273B" w:rsidRDefault="00AB61EC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097B5FC1" w14:textId="7C5EB083" w:rsidR="00AB61EC" w:rsidRPr="005A273B" w:rsidRDefault="00AB61EC" w:rsidP="00485D88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1</w:t>
      </w:r>
      <w:r w:rsidR="001B6BD0" w:rsidRPr="005A273B">
        <w:rPr>
          <w:rFonts w:ascii="Tahoma" w:hAnsi="Tahoma" w:cs="Tahoma"/>
          <w:color w:val="525252" w:themeColor="accent3" w:themeShade="80"/>
          <w:lang w:val="ro-RO"/>
        </w:rPr>
        <w:t>0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.- </w:t>
      </w:r>
      <w:r w:rsidR="00485D88" w:rsidRPr="005A273B">
        <w:rPr>
          <w:rFonts w:ascii="Tahoma" w:hAnsi="Tahoma" w:cs="Tahoma"/>
          <w:color w:val="525252" w:themeColor="accent3" w:themeShade="80"/>
          <w:lang w:val="ro-RO"/>
        </w:rPr>
        <w:t>A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rt. 490 se modifică și va avea următorul cuprins: </w:t>
      </w:r>
    </w:p>
    <w:p w14:paraId="72962700" w14:textId="6C387A1E" w:rsidR="00AB61EC" w:rsidRPr="005A273B" w:rsidRDefault="00AB61EC" w:rsidP="00485D88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“Art. 490 Controlul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colectarea impozitelor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taxelor locale </w:t>
      </w:r>
    </w:p>
    <w:p w14:paraId="7A780121" w14:textId="799F1D46" w:rsidR="00AB61EC" w:rsidRPr="005A273B" w:rsidRDefault="00AB61EC" w:rsidP="00485D88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(1)</w:t>
      </w:r>
      <w:r w:rsidR="009E6C31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Autorităţile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administraţiei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publice locale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organele speciale ale acestora, după caz, sunt responsabile pentru stabilirea, controlul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colectarea impozitelor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taxelor locale, precum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 amenzilor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penalizărilor aferente. </w:t>
      </w:r>
    </w:p>
    <w:p w14:paraId="5D152D61" w14:textId="2A4C66D9" w:rsidR="00AB61EC" w:rsidRPr="005A273B" w:rsidRDefault="00AB61EC" w:rsidP="00485D88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(2) În cazul municipiului București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autorităţile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administraţiei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publice locale ale subdiviziunilor acestuia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organele speciale ale acestora, după caz, sunt responsabile pentru </w:t>
      </w:r>
      <w:r w:rsidR="009E6C31" w:rsidRPr="005A273B">
        <w:rPr>
          <w:rFonts w:ascii="Tahoma" w:hAnsi="Tahoma" w:cs="Tahoma"/>
          <w:color w:val="525252" w:themeColor="accent3" w:themeShade="80"/>
          <w:lang w:val="ro-RO"/>
        </w:rPr>
        <w:t>stabilirea, controlul,  colectarea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și virarea integrală a veniturilor prevăzute la alin. (1) către bugetul local al unității administrativ-teritoriale</w:t>
      </w:r>
      <w:r w:rsidR="00485D88" w:rsidRPr="005A273B">
        <w:rPr>
          <w:rFonts w:ascii="Tahoma" w:hAnsi="Tahoma" w:cs="Tahoma"/>
          <w:color w:val="525252" w:themeColor="accent3" w:themeShade="80"/>
          <w:lang w:val="ro-RO"/>
        </w:rPr>
        <w:t>.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”</w:t>
      </w:r>
    </w:p>
    <w:p w14:paraId="67E9A77C" w14:textId="107AB9E8" w:rsidR="00AB61EC" w:rsidRPr="005A273B" w:rsidRDefault="00AB61EC" w:rsidP="00AB61EC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</w:p>
    <w:p w14:paraId="6387DD66" w14:textId="68903153" w:rsidR="003834A6" w:rsidRPr="005A273B" w:rsidRDefault="003834A6" w:rsidP="003834A6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1</w:t>
      </w:r>
      <w:r w:rsidR="001B6BD0" w:rsidRPr="005A273B">
        <w:rPr>
          <w:rFonts w:ascii="Tahoma" w:hAnsi="Tahoma" w:cs="Tahoma"/>
          <w:color w:val="525252" w:themeColor="accent3" w:themeShade="80"/>
          <w:lang w:val="ro-RO"/>
        </w:rPr>
        <w:t>1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. La articolul 494, alineatele (1) </w:t>
      </w:r>
      <w:r w:rsidR="009E6C31" w:rsidRPr="005A273B">
        <w:rPr>
          <w:rFonts w:ascii="Tahoma" w:hAnsi="Tahoma" w:cs="Tahoma"/>
          <w:color w:val="525252" w:themeColor="accent3" w:themeShade="80"/>
          <w:lang w:val="ro-RO"/>
        </w:rPr>
        <w:t>-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(10) se modifică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vor avea următorul cuprins: </w:t>
      </w:r>
    </w:p>
    <w:p w14:paraId="17965781" w14:textId="5798ACFB" w:rsidR="009369E2" w:rsidRPr="005A273B" w:rsidRDefault="003834A6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“</w:t>
      </w:r>
      <w:r w:rsidR="009369E2" w:rsidRPr="005A273B">
        <w:rPr>
          <w:rFonts w:ascii="Tahoma" w:hAnsi="Tahoma" w:cs="Tahoma"/>
          <w:color w:val="525252" w:themeColor="accent3" w:themeShade="80"/>
          <w:lang w:val="ro-RO"/>
        </w:rPr>
        <w:t>1)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="009369E2" w:rsidRPr="005A273B">
        <w:rPr>
          <w:rFonts w:ascii="Tahoma" w:hAnsi="Tahoma" w:cs="Tahoma"/>
          <w:color w:val="525252" w:themeColor="accent3" w:themeShade="80"/>
          <w:lang w:val="ro-RO"/>
        </w:rPr>
        <w:t xml:space="preserve">Impozitele </w:t>
      </w:r>
      <w:proofErr w:type="spellStart"/>
      <w:r w:rsidR="009369E2"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="009369E2" w:rsidRPr="005A273B">
        <w:rPr>
          <w:rFonts w:ascii="Tahoma" w:hAnsi="Tahoma" w:cs="Tahoma"/>
          <w:color w:val="525252" w:themeColor="accent3" w:themeShade="80"/>
          <w:lang w:val="ro-RO"/>
        </w:rPr>
        <w:t xml:space="preserve"> taxele locale, majorările de întârziere, precum </w:t>
      </w:r>
      <w:proofErr w:type="spellStart"/>
      <w:r w:rsidR="009369E2"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="009369E2" w:rsidRPr="005A273B">
        <w:rPr>
          <w:rFonts w:ascii="Tahoma" w:hAnsi="Tahoma" w:cs="Tahoma"/>
          <w:color w:val="525252" w:themeColor="accent3" w:themeShade="80"/>
          <w:lang w:val="ro-RO"/>
        </w:rPr>
        <w:t xml:space="preserve"> amenzile aferente acestora constituie integral venituri la bugetele locale ale </w:t>
      </w:r>
      <w:proofErr w:type="spellStart"/>
      <w:r w:rsidR="009369E2" w:rsidRPr="005A273B">
        <w:rPr>
          <w:rFonts w:ascii="Tahoma" w:hAnsi="Tahoma" w:cs="Tahoma"/>
          <w:color w:val="525252" w:themeColor="accent3" w:themeShade="80"/>
          <w:lang w:val="ro-RO"/>
        </w:rPr>
        <w:t>unităţilor</w:t>
      </w:r>
      <w:proofErr w:type="spellEnd"/>
      <w:r w:rsidR="009369E2"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administrativ-teritoriale. La nivelul municipiului </w:t>
      </w:r>
      <w:proofErr w:type="spellStart"/>
      <w:r w:rsidR="009369E2"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="009369E2" w:rsidRPr="005A273B">
        <w:rPr>
          <w:rFonts w:ascii="Tahoma" w:hAnsi="Tahoma" w:cs="Tahoma"/>
          <w:color w:val="525252" w:themeColor="accent3" w:themeShade="80"/>
          <w:lang w:val="ro-RO"/>
        </w:rPr>
        <w:t xml:space="preserve"> acestea constituie integral venituri ale bugetului local al municipiului </w:t>
      </w:r>
      <w:proofErr w:type="spellStart"/>
      <w:r w:rsidR="009369E2"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="009369E2"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5693334B" w14:textId="1730FD97" w:rsidR="009369E2" w:rsidRPr="005A273B" w:rsidRDefault="009369E2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(2)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Impozitul pe clădiri, precum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amenzile aferente acestuia constituie venituri la bugetul local al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unităţii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administrativ-teritoriale în raza căreia este situată clădirea respectivă. La nivelul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acestea constituie integral venituri ale bugetului local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0E7AEC70" w14:textId="4D7D4C9E" w:rsidR="009369E2" w:rsidRPr="005A273B" w:rsidRDefault="009369E2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(3)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Impozitul pe teren, precum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amenzile aferente acestuia constituie venituri la bugetul local al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unităţii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administrativ-teritoriale în raza căreia este situat terenul respectiv. La nivelul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acestea constituie integral venituri ale bugetului local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5E7C7CBF" w14:textId="675A0EAC" w:rsidR="009369E2" w:rsidRPr="005A273B" w:rsidRDefault="009369E2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lastRenderedPageBreak/>
        <w:t>(4)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Cu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excepţiile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prevăzute la alin. (5), impozitul pe mijlocul de transport, majorările de întârziere, precum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amenzile aferente acestuia constituie venituri la bugetul local al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unităţii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administrativ-teritoriale în raza căreia trebuie înmatriculat sau înregistrat mijlocul de transport respectiv. La nivelul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acestea constituie integral venituri ale bugetului local al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68CA92C9" w14:textId="04F1CC22" w:rsidR="009369E2" w:rsidRPr="005A273B" w:rsidRDefault="009369E2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(5)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Veniturile provenite din impozitul pe mijlocul de transport stabilit în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concordanţă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cu prevederile art. 470 alin. (5)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(6), majorările de întârziere, precum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amenzile aferente se pot utiliza exclusiv pentru lucrări de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întreţinere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modernizare, reabilitare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construire a drumurilor locale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judeţene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din care 60% constituie venituri la bugetul local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40% constituie venituri la bugetul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judeţean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. În cazul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acestea constituie venituri integral la bugetul municipiului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Bucureşti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0AAAB9A2" w14:textId="7D2E474A" w:rsidR="009369E2" w:rsidRPr="005A273B" w:rsidRDefault="009369E2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(6)Taxele locale prevăzute la cap. V din prezentul titlu constituie venituri ale bugetelor locale ale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unităţilor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 </w:t>
      </w:r>
      <w:r w:rsidR="00B4465D" w:rsidRPr="005A273B">
        <w:rPr>
          <w:rFonts w:ascii="Tahoma" w:hAnsi="Tahoma" w:cs="Tahoma"/>
          <w:color w:val="525252" w:themeColor="accent3" w:themeShade="80"/>
          <w:lang w:val="ro-RO"/>
        </w:rPr>
        <w:t>-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teritoriale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>, respectiv al municipiului București, după caz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. Pentru eliberarea certificatelor de urbanism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autorizaţiilor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construire de către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preşedinţii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consiliilor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judeţene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cu avizul primarilor comunelor, taxele datorate constituie venit în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proporţie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50% la bugetul local al comunelor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de 50% la bugetul local al </w:t>
      </w:r>
      <w:r w:rsidR="002C59F6" w:rsidRPr="005A273B">
        <w:rPr>
          <w:rFonts w:ascii="Tahoma" w:hAnsi="Tahoma" w:cs="Tahoma"/>
          <w:color w:val="525252" w:themeColor="accent3" w:themeShade="80"/>
          <w:lang w:val="ro-RO"/>
        </w:rPr>
        <w:t>județului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. La nivelul municipiului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București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acestea constituie integral venituri ale bugetului local al municipiului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București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4AEC576D" w14:textId="6FFE9A23" w:rsidR="003834A6" w:rsidRPr="005A273B" w:rsidRDefault="009369E2" w:rsidP="003834A6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(7)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Taxa pentru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afișaj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în scop de reclamă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publicitate, precum </w:t>
      </w:r>
      <w:r w:rsidR="002C59F6" w:rsidRPr="005A273B">
        <w:rPr>
          <w:rFonts w:ascii="Tahoma" w:hAnsi="Tahoma" w:cs="Tahoma"/>
          <w:color w:val="525252" w:themeColor="accent3" w:themeShade="80"/>
          <w:lang w:val="ro-RO"/>
        </w:rPr>
        <w:t>și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amenzile aferente constituie venituri la bugetul local al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unității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administrativ-teritoriale unde este situat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afișajul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panoul sau structura pentru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afișajul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în scop de reclamă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publicitate.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 xml:space="preserve"> La nivelul municipiului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București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 xml:space="preserve">, taxa și amenzile constituie integral venituri ale bugetului local al municipiului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București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2B8F8952" w14:textId="122D35FE" w:rsidR="003834A6" w:rsidRPr="005A273B" w:rsidRDefault="009369E2" w:rsidP="003834A6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(8)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Impozitul pe spectacole, precum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amenzile aferente constituie venituri la bugetul local al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unității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administrativ-teritoriale unde are loc manifestarea artistică,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competiția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sportivă sau altă activitate distractivă.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 xml:space="preserve"> La nivelul municipiului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București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 xml:space="preserve"> acestea constituie integral venituri ale bugetului local al municipiului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București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3A03095D" w14:textId="6A782096" w:rsidR="003834A6" w:rsidRPr="005A273B" w:rsidRDefault="009369E2" w:rsidP="003834A6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(9)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Celelalte taxe locale prevăzute la art. 486, precum </w:t>
      </w:r>
      <w:proofErr w:type="spellStart"/>
      <w:r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amenzile aferente constituie venituri la bugetul local al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unității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administrativ-teritoriale unde este situat locu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>l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public sau echipamentul respectiv ori unde trebuie înmatriculat vehiculul lent.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 xml:space="preserve"> La nivelul municipiului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București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 xml:space="preserve"> acestea constituie integral venituri ale bugetului local al municipiului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București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126931C5" w14:textId="5EFBA2EE" w:rsidR="009369E2" w:rsidRPr="005A273B" w:rsidRDefault="009369E2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(10)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Constituie venit la bugetul local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 xml:space="preserve">, </w:t>
      </w:r>
      <w:r w:rsidR="00B4465D" w:rsidRPr="005A273B">
        <w:rPr>
          <w:rFonts w:ascii="Tahoma" w:hAnsi="Tahoma" w:cs="Tahoma"/>
          <w:color w:val="525252" w:themeColor="accent3" w:themeShade="80"/>
          <w:lang w:val="ro-RO"/>
        </w:rPr>
        <w:t>respectiv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 xml:space="preserve"> al municipiului București,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sumele provenite din:</w:t>
      </w:r>
    </w:p>
    <w:p w14:paraId="68A706DD" w14:textId="57707AE1" w:rsidR="009369E2" w:rsidRPr="005A273B" w:rsidRDefault="009369E2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a)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majorările pentru plata cu întârziere a impozitelor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și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taxelor locale;</w:t>
      </w:r>
    </w:p>
    <w:p w14:paraId="6ABF443E" w14:textId="16D3E0C4" w:rsidR="009369E2" w:rsidRPr="005A273B" w:rsidRDefault="009369E2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b)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taxele judiciare de timbru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și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alte taxe de timbru prevăzute de lege</w:t>
      </w:r>
      <w:r w:rsidR="003834A6" w:rsidRPr="005A273B">
        <w:rPr>
          <w:rFonts w:ascii="Tahoma" w:hAnsi="Tahoma" w:cs="Tahoma"/>
          <w:color w:val="525252" w:themeColor="accent3" w:themeShade="80"/>
          <w:lang w:val="ro-RO"/>
        </w:rPr>
        <w:t>.</w:t>
      </w:r>
    </w:p>
    <w:p w14:paraId="4B8C2702" w14:textId="77777777" w:rsidR="00734CBB" w:rsidRPr="005A273B" w:rsidRDefault="00734CBB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1E279337" w14:textId="235AD8B3" w:rsidR="00734CBB" w:rsidRPr="005A273B" w:rsidRDefault="00734CBB" w:rsidP="00734CBB">
      <w:pPr>
        <w:pStyle w:val="Frspaiere"/>
        <w:spacing w:line="360" w:lineRule="auto"/>
        <w:jc w:val="both"/>
        <w:rPr>
          <w:rFonts w:ascii="Tahoma" w:hAnsi="Tahoma" w:cs="Tahoma"/>
          <w:b/>
          <w:bCs/>
          <w:color w:val="525252" w:themeColor="accent3" w:themeShade="80"/>
          <w:lang w:val="ro-RO"/>
        </w:rPr>
      </w:pP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lastRenderedPageBreak/>
        <w:t xml:space="preserve">Art. </w:t>
      </w:r>
      <w:r w:rsidR="00024D17">
        <w:rPr>
          <w:rFonts w:ascii="Tahoma" w:hAnsi="Tahoma" w:cs="Tahoma"/>
          <w:b/>
          <w:bCs/>
          <w:color w:val="525252" w:themeColor="accent3" w:themeShade="80"/>
          <w:lang w:val="ro-RO"/>
        </w:rPr>
        <w:t>II</w:t>
      </w:r>
    </w:p>
    <w:p w14:paraId="6F477706" w14:textId="77777777" w:rsidR="00734CBB" w:rsidRPr="005A273B" w:rsidRDefault="00734CBB" w:rsidP="00734CB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În termen de 30 de zile de la intrarea în vigoare a prezentei legi, Guvernul va modifica în mod corespunzător Hotărârea Guvernului nr. 1/2016 pentru aprobarea Normelor metodologice de aplicare a Legii nr. 227/2015 privind Codul fiscal, publicată în Monitorul Oficial al României, Partea I, nr. 22 din data de 13 ianuarie 2016.</w:t>
      </w:r>
    </w:p>
    <w:p w14:paraId="34595F75" w14:textId="77777777" w:rsidR="00485D88" w:rsidRPr="005A273B" w:rsidRDefault="00485D88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3F6B16B3" w14:textId="1D385432" w:rsidR="00176B38" w:rsidRPr="005A273B" w:rsidRDefault="00176B38" w:rsidP="00176B38">
      <w:pPr>
        <w:pStyle w:val="Frspaiere"/>
        <w:spacing w:line="360" w:lineRule="auto"/>
        <w:jc w:val="both"/>
        <w:rPr>
          <w:rFonts w:ascii="Tahoma" w:hAnsi="Tahoma" w:cs="Tahoma"/>
          <w:b/>
          <w:bCs/>
          <w:color w:val="525252" w:themeColor="accent3" w:themeShade="80"/>
          <w:lang w:val="ro-RO"/>
        </w:rPr>
      </w:pP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 xml:space="preserve">Art. </w:t>
      </w:r>
      <w:r w:rsidR="00024D17">
        <w:rPr>
          <w:rFonts w:ascii="Tahoma" w:hAnsi="Tahoma" w:cs="Tahoma"/>
          <w:b/>
          <w:bCs/>
          <w:color w:val="525252" w:themeColor="accent3" w:themeShade="80"/>
          <w:lang w:val="ro-RO"/>
        </w:rPr>
        <w:t>III</w:t>
      </w:r>
    </w:p>
    <w:p w14:paraId="7556F62C" w14:textId="2F9EF30A" w:rsidR="00176B38" w:rsidRPr="005A273B" w:rsidRDefault="005A273B" w:rsidP="00176B38">
      <w:pPr>
        <w:pStyle w:val="Frspaiere"/>
        <w:spacing w:line="360" w:lineRule="auto"/>
        <w:jc w:val="both"/>
        <w:rPr>
          <w:rFonts w:ascii="Tahoma" w:hAnsi="Tahoma" w:cs="Tahoma"/>
          <w:b/>
          <w:bCs/>
          <w:color w:val="525252" w:themeColor="accent3" w:themeShade="80"/>
          <w:lang w:val="ro-RO"/>
        </w:rPr>
      </w:pP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>Ordonanța</w:t>
      </w:r>
      <w:r w:rsidR="00176B38"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 xml:space="preserve"> Guvernului nr. 2/2001 privind regimul juridic al </w:t>
      </w: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>contravențiilor</w:t>
      </w:r>
      <w:r w:rsidR="00176B38"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>, publicată în Monitorul Oficial al României, Partea I, nr. 410 din 25 iulie 2001, cu modificările și completările ulterioare, se modifică după cum urmează:</w:t>
      </w:r>
    </w:p>
    <w:p w14:paraId="6A18BF84" w14:textId="7485C741" w:rsidR="00485D88" w:rsidRPr="005A273B" w:rsidRDefault="00176B38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1. </w:t>
      </w:r>
      <w:r w:rsidR="00485D88" w:rsidRPr="005A273B">
        <w:rPr>
          <w:rFonts w:ascii="Tahoma" w:hAnsi="Tahoma" w:cs="Tahoma"/>
          <w:color w:val="525252" w:themeColor="accent3" w:themeShade="80"/>
          <w:lang w:val="ro-RO"/>
        </w:rPr>
        <w:t xml:space="preserve">La articolul 8, alineatele (3) și (4) se modifică și vor avea următorul cuprins: </w:t>
      </w:r>
    </w:p>
    <w:p w14:paraId="101CF33A" w14:textId="1E45AFD7" w:rsidR="00485D88" w:rsidRPr="005A273B" w:rsidRDefault="00485D88" w:rsidP="00485D88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“(3)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Sumele provenite din amenzile aplicate persoanelor juridice în conformitate cu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legislația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în vigoare se fac venit integral la bugetul de stat, cu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excepția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celor aplicate, potrivit legii, de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autoritățile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administrației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publice locale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și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amenzilor privind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circulația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pe drumurile publice, care se fac venit integral la bugetele locale ale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unității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administrativ-teritoriale în care contravenientul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își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are domiciliul sau sediul, după caz. În cazul municipiului București sumele provenite din amenzile aplicate persoanelor juridice sunt venit integral al bugetului </w:t>
      </w:r>
      <w:r w:rsidR="00B4465D" w:rsidRPr="005A273B">
        <w:rPr>
          <w:rFonts w:ascii="Tahoma" w:hAnsi="Tahoma" w:cs="Tahoma"/>
          <w:color w:val="525252" w:themeColor="accent3" w:themeShade="80"/>
          <w:lang w:val="ro-RO"/>
        </w:rPr>
        <w:t xml:space="preserve">local al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municipiului București, cu excepția celor care sunt venit al bugetului de stat.</w:t>
      </w:r>
    </w:p>
    <w:p w14:paraId="01A9E090" w14:textId="6DDFE2F0" w:rsidR="00485D88" w:rsidRPr="005A273B" w:rsidRDefault="00485D88" w:rsidP="00485D88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(4)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Sumele provenite din amenzile aplicate persoanelor fizice în conformitate cu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legislația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în vigoare se fac venit integral la bugetele locale ale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unității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administrativ-teritoriale în care contravenientul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își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are domiciliul. În cazul municipiului București sumele provenite din amenzile aplicate persoanelor </w:t>
      </w:r>
      <w:r w:rsidR="001B6BD0" w:rsidRPr="005A273B">
        <w:rPr>
          <w:rFonts w:ascii="Tahoma" w:hAnsi="Tahoma" w:cs="Tahoma"/>
          <w:color w:val="525252" w:themeColor="accent3" w:themeShade="80"/>
          <w:lang w:val="ro-RO"/>
        </w:rPr>
        <w:t>fizice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sunt venit integral al bugetului</w:t>
      </w:r>
      <w:r w:rsidR="00B4465D" w:rsidRPr="005A273B">
        <w:rPr>
          <w:rFonts w:ascii="Tahoma" w:hAnsi="Tahoma" w:cs="Tahoma"/>
          <w:color w:val="525252" w:themeColor="accent3" w:themeShade="80"/>
          <w:lang w:val="ro-RO"/>
        </w:rPr>
        <w:t xml:space="preserve"> local al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municipiului București.”</w:t>
      </w:r>
    </w:p>
    <w:p w14:paraId="161BABDF" w14:textId="77777777" w:rsidR="00176B38" w:rsidRPr="005A273B" w:rsidRDefault="00176B38" w:rsidP="00485D88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7A737A15" w14:textId="2A046490" w:rsidR="00176B38" w:rsidRPr="005A273B" w:rsidRDefault="00176B38" w:rsidP="00176B38">
      <w:pPr>
        <w:pStyle w:val="Frspaiere"/>
        <w:spacing w:line="360" w:lineRule="auto"/>
        <w:jc w:val="both"/>
        <w:rPr>
          <w:rFonts w:ascii="Tahoma" w:hAnsi="Tahoma" w:cs="Tahoma"/>
          <w:b/>
          <w:bCs/>
          <w:color w:val="525252" w:themeColor="accent3" w:themeShade="80"/>
          <w:lang w:val="ro-RO"/>
        </w:rPr>
      </w:pP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>Art.</w:t>
      </w:r>
      <w:r w:rsidR="00024D17">
        <w:rPr>
          <w:rFonts w:ascii="Tahoma" w:hAnsi="Tahoma" w:cs="Tahoma"/>
          <w:b/>
          <w:bCs/>
          <w:color w:val="525252" w:themeColor="accent3" w:themeShade="80"/>
          <w:lang w:val="ro-RO"/>
        </w:rPr>
        <w:t xml:space="preserve"> IV</w:t>
      </w:r>
    </w:p>
    <w:p w14:paraId="326C2927" w14:textId="0540AC3D" w:rsidR="00176B38" w:rsidRPr="005A273B" w:rsidRDefault="005A273B" w:rsidP="00485D88">
      <w:pPr>
        <w:pStyle w:val="Frspaiere"/>
        <w:spacing w:line="360" w:lineRule="auto"/>
        <w:jc w:val="both"/>
        <w:rPr>
          <w:rFonts w:ascii="Tahoma" w:hAnsi="Tahoma" w:cs="Tahoma"/>
          <w:b/>
          <w:bCs/>
          <w:color w:val="525252" w:themeColor="accent3" w:themeShade="80"/>
          <w:lang w:val="ro-RO"/>
        </w:rPr>
      </w:pP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>Ordonanța</w:t>
      </w:r>
      <w:r w:rsidR="001B6BD0"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 xml:space="preserve"> de </w:t>
      </w: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>urgență</w:t>
      </w:r>
      <w:r w:rsidR="001B6BD0"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 xml:space="preserve"> a Guvernului nr. 80/2013 privind taxele judiciare de timbru, publicată în Monitorul Oficial al României, Partea I, nr. 392 din 29 iunie 2013, cu modificările </w:t>
      </w: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>și</w:t>
      </w:r>
      <w:r w:rsidR="001B6BD0"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 xml:space="preserve"> completările ulterioare, se completează după cum urmează:</w:t>
      </w:r>
    </w:p>
    <w:p w14:paraId="50DA4C77" w14:textId="4ADE88CA" w:rsidR="00176B38" w:rsidRPr="005A273B" w:rsidRDefault="001B6BD0" w:rsidP="00176B38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1. </w:t>
      </w:r>
      <w:r w:rsidR="00176B38" w:rsidRPr="005A273B">
        <w:rPr>
          <w:rFonts w:ascii="Tahoma" w:hAnsi="Tahoma" w:cs="Tahoma"/>
          <w:color w:val="525252" w:themeColor="accent3" w:themeShade="80"/>
          <w:lang w:val="ro-RO"/>
        </w:rPr>
        <w:t xml:space="preserve">La articolul 40, după alineatul (1) se introduce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un nou alineat, alin. (1</w:t>
      </w:r>
      <w:r w:rsidRPr="005A273B">
        <w:rPr>
          <w:rFonts w:ascii="Tahoma" w:hAnsi="Tahoma" w:cs="Tahoma"/>
          <w:color w:val="525252" w:themeColor="accent3" w:themeShade="80"/>
          <w:vertAlign w:val="superscript"/>
          <w:lang w:val="ro-RO"/>
        </w:rPr>
        <w:t>1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), cu următorul cuprins:</w:t>
      </w:r>
    </w:p>
    <w:p w14:paraId="58CCD3F4" w14:textId="55737F11" w:rsidR="00176B38" w:rsidRPr="005A273B" w:rsidRDefault="001B6BD0" w:rsidP="00176B38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“</w:t>
      </w:r>
      <w:r w:rsidR="00176B38" w:rsidRPr="005A273B">
        <w:rPr>
          <w:rFonts w:ascii="Tahoma" w:hAnsi="Tahoma" w:cs="Tahoma"/>
          <w:color w:val="525252" w:themeColor="accent3" w:themeShade="80"/>
          <w:lang w:val="ro-RO"/>
        </w:rPr>
        <w:t>(1</w:t>
      </w:r>
      <w:r w:rsidR="00176B38" w:rsidRPr="005A273B">
        <w:rPr>
          <w:rFonts w:ascii="Tahoma" w:hAnsi="Tahoma" w:cs="Tahoma"/>
          <w:color w:val="525252" w:themeColor="accent3" w:themeShade="80"/>
          <w:vertAlign w:val="superscript"/>
          <w:lang w:val="ro-RO"/>
        </w:rPr>
        <w:t>1</w:t>
      </w:r>
      <w:r w:rsidR="00176B38" w:rsidRPr="005A273B">
        <w:rPr>
          <w:rFonts w:ascii="Tahoma" w:hAnsi="Tahoma" w:cs="Tahoma"/>
          <w:color w:val="525252" w:themeColor="accent3" w:themeShade="80"/>
          <w:lang w:val="ro-RO"/>
        </w:rPr>
        <w:t xml:space="preserve">) În cazul municipiului București, taxele judiciare de timbru plătite de persoanele fizice sau juridice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constituie </w:t>
      </w:r>
      <w:r w:rsidR="00176B38" w:rsidRPr="005A273B">
        <w:rPr>
          <w:rFonts w:ascii="Tahoma" w:hAnsi="Tahoma" w:cs="Tahoma"/>
          <w:color w:val="525252" w:themeColor="accent3" w:themeShade="80"/>
          <w:lang w:val="ro-RO"/>
        </w:rPr>
        <w:t>venit la bugetul local al municipiului București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, cu excepția celor care sunt venit al bugetului de stat.”</w:t>
      </w:r>
    </w:p>
    <w:p w14:paraId="4EAE399E" w14:textId="77777777" w:rsidR="00C5285E" w:rsidRPr="005A273B" w:rsidRDefault="00C5285E" w:rsidP="00176B38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6508910C" w14:textId="1A8CE39B" w:rsidR="005C3C3F" w:rsidRPr="005A273B" w:rsidRDefault="00C5285E" w:rsidP="00C5285E">
      <w:pPr>
        <w:pStyle w:val="Frspaiere"/>
        <w:spacing w:line="360" w:lineRule="auto"/>
        <w:jc w:val="both"/>
        <w:rPr>
          <w:rFonts w:ascii="Tahoma" w:hAnsi="Tahoma" w:cs="Tahoma"/>
          <w:b/>
          <w:bCs/>
          <w:color w:val="525252" w:themeColor="accent3" w:themeShade="80"/>
          <w:lang w:val="ro-RO"/>
        </w:rPr>
      </w:pP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lastRenderedPageBreak/>
        <w:t xml:space="preserve">Art. </w:t>
      </w:r>
      <w:r w:rsidR="00024D17">
        <w:rPr>
          <w:rFonts w:ascii="Tahoma" w:hAnsi="Tahoma" w:cs="Tahoma"/>
          <w:b/>
          <w:bCs/>
          <w:color w:val="525252" w:themeColor="accent3" w:themeShade="80"/>
          <w:lang w:val="ro-RO"/>
        </w:rPr>
        <w:t>V</w:t>
      </w:r>
    </w:p>
    <w:p w14:paraId="4762516A" w14:textId="285AB89A" w:rsidR="00C5285E" w:rsidRPr="005A273B" w:rsidRDefault="00C5285E" w:rsidP="00C5285E">
      <w:pPr>
        <w:pStyle w:val="Frspaiere"/>
        <w:spacing w:line="360" w:lineRule="auto"/>
        <w:jc w:val="both"/>
        <w:rPr>
          <w:rFonts w:ascii="Tahoma" w:hAnsi="Tahoma" w:cs="Tahoma"/>
          <w:b/>
          <w:bCs/>
          <w:color w:val="525252" w:themeColor="accent3" w:themeShade="80"/>
          <w:lang w:val="ro-RO"/>
        </w:rPr>
      </w:pP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 xml:space="preserve">Legea nr. 273/2006 privind </w:t>
      </w:r>
      <w:r w:rsidR="005A273B"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>finanțele</w:t>
      </w:r>
      <w:r w:rsidRPr="005A273B">
        <w:rPr>
          <w:rFonts w:ascii="Tahoma" w:hAnsi="Tahoma" w:cs="Tahoma"/>
          <w:b/>
          <w:bCs/>
          <w:color w:val="525252" w:themeColor="accent3" w:themeShade="80"/>
          <w:lang w:val="ro-RO"/>
        </w:rPr>
        <w:t xml:space="preserve"> publice locale, publicată în Monitorul Oficial al României, Partea I, nr. 618 din 18 iulie 2006, cu modificările și completările ulterioare, se modifică și se completează după cum urmează:</w:t>
      </w:r>
    </w:p>
    <w:p w14:paraId="6AC693B9" w14:textId="60918C63" w:rsidR="009B7A2B" w:rsidRPr="005A273B" w:rsidRDefault="009B7A2B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1. La articolul 32, alineatele (3) și (4) se modifică și vor avea următorul cuprins: </w:t>
      </w:r>
    </w:p>
    <w:p w14:paraId="4B7DE802" w14:textId="4AC8D8FC" w:rsidR="009B7A2B" w:rsidRPr="005A273B" w:rsidRDefault="009B7A2B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“</w:t>
      </w:r>
      <w:r w:rsidR="00C5285E" w:rsidRPr="005A273B">
        <w:rPr>
          <w:rFonts w:ascii="Tahoma" w:hAnsi="Tahoma" w:cs="Tahoma"/>
          <w:color w:val="525252" w:themeColor="accent3" w:themeShade="80"/>
          <w:lang w:val="ro-RO"/>
        </w:rPr>
        <w:t>(3)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Pentru municipiul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București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lunar, până cel târziu la data de 8 a lunii în curs, se alocă 100% din impozitul pe venit estimat a fi încasat la bugetul de stat la nivelul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unității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administrativ-teritoriale în luna anterioară.</w:t>
      </w:r>
    </w:p>
    <w:p w14:paraId="374A250C" w14:textId="77777777" w:rsidR="00096181" w:rsidRPr="005A273B" w:rsidRDefault="00096181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40D83F91" w14:textId="5F071178" w:rsidR="009B7A2B" w:rsidRPr="005A273B" w:rsidRDefault="009B7A2B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(4)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În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execuție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, echilibrarea bugetului local al municipiului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Bucure</w:t>
      </w:r>
      <w:r w:rsidR="005A273B">
        <w:rPr>
          <w:rFonts w:ascii="Tahoma" w:hAnsi="Tahoma" w:cs="Tahoma"/>
          <w:color w:val="525252" w:themeColor="accent3" w:themeShade="80"/>
          <w:lang w:val="ro-RO"/>
        </w:rPr>
        <w:t>ș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ti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și a bugetelor locale ale sectoarelor se aprobă prin hotărâre a Consiliului General al Municipiului București.”</w:t>
      </w:r>
    </w:p>
    <w:p w14:paraId="6EEBB47E" w14:textId="77777777" w:rsidR="003A6C5A" w:rsidRPr="005A273B" w:rsidRDefault="003A6C5A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21CF47DE" w14:textId="6CDED757" w:rsidR="00096181" w:rsidRPr="005A273B" w:rsidRDefault="003A6C5A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2. </w:t>
      </w:r>
      <w:r w:rsidR="007002DB" w:rsidRPr="005A273B">
        <w:rPr>
          <w:rFonts w:ascii="Tahoma" w:hAnsi="Tahoma" w:cs="Tahoma"/>
          <w:color w:val="525252" w:themeColor="accent3" w:themeShade="80"/>
          <w:lang w:val="ro-RO"/>
        </w:rPr>
        <w:t xml:space="preserve">După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articolul 32</w:t>
      </w:r>
      <w:r w:rsidR="007002DB" w:rsidRPr="005A273B">
        <w:rPr>
          <w:rFonts w:ascii="Tahoma" w:hAnsi="Tahoma" w:cs="Tahoma"/>
          <w:color w:val="525252" w:themeColor="accent3" w:themeShade="80"/>
          <w:vertAlign w:val="superscript"/>
          <w:lang w:val="ro-RO"/>
        </w:rPr>
        <w:t>2</w:t>
      </w:r>
      <w:r w:rsidR="007002DB" w:rsidRPr="005A273B">
        <w:rPr>
          <w:rFonts w:ascii="Tahoma" w:hAnsi="Tahoma" w:cs="Tahoma"/>
          <w:color w:val="525252" w:themeColor="accent3" w:themeShade="80"/>
          <w:lang w:val="ro-RO"/>
        </w:rPr>
        <w:t xml:space="preserve"> se introduce un articol nou, art. 32</w:t>
      </w:r>
      <w:r w:rsidR="007002DB" w:rsidRPr="005A273B">
        <w:rPr>
          <w:rFonts w:ascii="Tahoma" w:hAnsi="Tahoma" w:cs="Tahoma"/>
          <w:color w:val="525252" w:themeColor="accent3" w:themeShade="80"/>
          <w:vertAlign w:val="superscript"/>
          <w:lang w:val="ro-RO"/>
        </w:rPr>
        <w:t>3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, cu următorul cuprins:</w:t>
      </w:r>
    </w:p>
    <w:p w14:paraId="642C1FA1" w14:textId="3BF81812" w:rsidR="008A5230" w:rsidRPr="005A273B" w:rsidRDefault="003A6C5A" w:rsidP="003A6C5A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“</w:t>
      </w:r>
      <w:r w:rsidR="007002DB" w:rsidRPr="005A273B">
        <w:rPr>
          <w:rFonts w:ascii="Tahoma" w:hAnsi="Tahoma" w:cs="Tahoma"/>
          <w:color w:val="525252" w:themeColor="accent3" w:themeShade="80"/>
          <w:lang w:val="ro-RO"/>
        </w:rPr>
        <w:t>Art. 32</w:t>
      </w:r>
      <w:r w:rsidR="007002DB" w:rsidRPr="005A273B">
        <w:rPr>
          <w:rFonts w:ascii="Tahoma" w:hAnsi="Tahoma" w:cs="Tahoma"/>
          <w:color w:val="525252" w:themeColor="accent3" w:themeShade="80"/>
          <w:vertAlign w:val="superscript"/>
          <w:lang w:val="ro-RO"/>
        </w:rPr>
        <w:t>3</w:t>
      </w:r>
      <w:r w:rsidR="008A5230" w:rsidRPr="005A273B">
        <w:rPr>
          <w:rFonts w:ascii="Open Sans" w:hAnsi="Open Sans" w:cs="Open Sans"/>
          <w:color w:val="525252" w:themeColor="accent3" w:themeShade="80"/>
          <w:shd w:val="clear" w:color="auto" w:fill="FFFFFF"/>
          <w:lang w:val="ro-RO"/>
        </w:rPr>
        <w:t xml:space="preserve"> </w:t>
      </w:r>
      <w:r w:rsidR="008A5230" w:rsidRPr="005A273B">
        <w:rPr>
          <w:rFonts w:ascii="Tahoma" w:hAnsi="Tahoma" w:cs="Tahoma"/>
          <w:color w:val="525252" w:themeColor="accent3" w:themeShade="80"/>
          <w:lang w:val="ro-RO"/>
        </w:rPr>
        <w:t xml:space="preserve">Prevederi aplicabile municipiului București </w:t>
      </w:r>
    </w:p>
    <w:p w14:paraId="5C5F1608" w14:textId="2DF07CF5" w:rsidR="00096181" w:rsidRPr="005A273B" w:rsidRDefault="008A5230" w:rsidP="003A6C5A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(1)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Veniturile din impozite și taxe locale, taxe judiciare de timbru, amenzi și i</w:t>
      </w:r>
      <w:r w:rsidR="003A6C5A" w:rsidRPr="005A273B">
        <w:rPr>
          <w:rFonts w:ascii="Tahoma" w:hAnsi="Tahoma" w:cs="Tahoma"/>
          <w:color w:val="525252" w:themeColor="accent3" w:themeShade="80"/>
          <w:lang w:val="ro-RO"/>
        </w:rPr>
        <w:t xml:space="preserve">mpozitul pe venit încasat se repartizează </w:t>
      </w:r>
      <w:r w:rsidR="00024D17">
        <w:rPr>
          <w:rFonts w:ascii="Tahoma" w:hAnsi="Tahoma" w:cs="Tahoma"/>
          <w:color w:val="525252" w:themeColor="accent3" w:themeShade="80"/>
          <w:lang w:val="ro-RO"/>
        </w:rPr>
        <w:t>în parte</w:t>
      </w:r>
      <w:r w:rsidR="003A6C5A" w:rsidRPr="005A273B">
        <w:rPr>
          <w:rFonts w:ascii="Tahoma" w:hAnsi="Tahoma" w:cs="Tahoma"/>
          <w:color w:val="525252" w:themeColor="accent3" w:themeShade="80"/>
          <w:lang w:val="ro-RO"/>
        </w:rPr>
        <w:t xml:space="preserve"> către sectoarele municipiului București, prin hotărâre a Consiliului General al Municipiului București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,</w:t>
      </w:r>
      <w:r w:rsidR="003A6C5A" w:rsidRPr="005A273B">
        <w:rPr>
          <w:rFonts w:ascii="Tahoma" w:hAnsi="Tahoma" w:cs="Tahoma"/>
          <w:color w:val="525252" w:themeColor="accent3" w:themeShade="80"/>
          <w:lang w:val="ro-RO"/>
        </w:rPr>
        <w:t xml:space="preserve"> pe baza unor criterii cum sunt:</w:t>
      </w:r>
    </w:p>
    <w:p w14:paraId="49FB189C" w14:textId="243C1EE7" w:rsidR="003A6C5A" w:rsidRPr="005A273B" w:rsidRDefault="003A6C5A" w:rsidP="003A6C5A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a)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suprafața subdiviziunii unității administrativ-teritoriale,</w:t>
      </w:r>
    </w:p>
    <w:p w14:paraId="0B176888" w14:textId="317A3DEA" w:rsidR="003A6C5A" w:rsidRPr="005A273B" w:rsidRDefault="003A6C5A" w:rsidP="003A6C5A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b)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populația,</w:t>
      </w:r>
    </w:p>
    <w:p w14:paraId="6CF3589A" w14:textId="39A6041D" w:rsidR="003A6C5A" w:rsidRPr="005A273B" w:rsidRDefault="003A6C5A" w:rsidP="003A6C5A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c)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proiecte de investiții cu implicații majore pentru municipiul București,</w:t>
      </w:r>
    </w:p>
    <w:p w14:paraId="1961BD13" w14:textId="30F898AA" w:rsidR="003A6C5A" w:rsidRPr="005A273B" w:rsidRDefault="003A6C5A" w:rsidP="003A6C5A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d)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proiecte de investiții ale sectorului, </w:t>
      </w:r>
    </w:p>
    <w:p w14:paraId="3A6BAAB5" w14:textId="535012EF" w:rsidR="003A6C5A" w:rsidRDefault="003A6C5A" w:rsidP="003A6C5A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e)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asigurarea cofinanțării proiectelor, </w:t>
      </w:r>
    </w:p>
    <w:p w14:paraId="41F33FFA" w14:textId="08CEFE61" w:rsidR="00024D17" w:rsidRPr="005A273B" w:rsidRDefault="00024D17" w:rsidP="003A6C5A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>
        <w:rPr>
          <w:rFonts w:ascii="Tahoma" w:hAnsi="Tahoma" w:cs="Tahoma"/>
          <w:color w:val="525252" w:themeColor="accent3" w:themeShade="80"/>
          <w:lang w:val="ro-RO"/>
        </w:rPr>
        <w:t xml:space="preserve">f)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gradul de colectare realizat, în anul anterior, de către fiecare subdiviziune a municipiului București</w:t>
      </w:r>
    </w:p>
    <w:p w14:paraId="38C48F02" w14:textId="092E5C43" w:rsidR="008A5230" w:rsidRPr="005A273B" w:rsidRDefault="003A6C5A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f)</w:t>
      </w:r>
      <w:r w:rsidR="00911EE8"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alte criterii stabilite prin  hotărâre a Consiliului General al Municipiului București.</w:t>
      </w:r>
    </w:p>
    <w:p w14:paraId="45DB923F" w14:textId="77777777" w:rsidR="00096181" w:rsidRPr="005A273B" w:rsidRDefault="00096181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4249C189" w14:textId="304EA784" w:rsidR="009B7A2B" w:rsidRPr="005A273B" w:rsidRDefault="007002DB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3</w:t>
      </w:r>
      <w:r w:rsidR="009B7A2B" w:rsidRPr="005A273B">
        <w:rPr>
          <w:rFonts w:ascii="Tahoma" w:hAnsi="Tahoma" w:cs="Tahoma"/>
          <w:color w:val="525252" w:themeColor="accent3" w:themeShade="80"/>
          <w:lang w:val="ro-RO"/>
        </w:rPr>
        <w:t>. Alineatul (6) al articolului 33 se abrogă.</w:t>
      </w:r>
    </w:p>
    <w:p w14:paraId="442448B2" w14:textId="77777777" w:rsidR="009B7A2B" w:rsidRPr="005A273B" w:rsidRDefault="009B7A2B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3D97C7D4" w14:textId="636E36A5" w:rsidR="009B7A2B" w:rsidRPr="005A273B" w:rsidRDefault="007002DB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4</w:t>
      </w:r>
      <w:r w:rsidR="009B7A2B" w:rsidRPr="005A273B">
        <w:rPr>
          <w:rFonts w:ascii="Tahoma" w:hAnsi="Tahoma" w:cs="Tahoma"/>
          <w:color w:val="525252" w:themeColor="accent3" w:themeShade="80"/>
          <w:lang w:val="ro-RO"/>
        </w:rPr>
        <w:t>. La articolul 33 alineatul (7) se modifică și va avea următorul cuprins</w:t>
      </w:r>
      <w:r w:rsidR="00642DCA" w:rsidRPr="005A273B">
        <w:rPr>
          <w:rFonts w:ascii="Tahoma" w:hAnsi="Tahoma" w:cs="Tahoma"/>
          <w:color w:val="525252" w:themeColor="accent3" w:themeShade="80"/>
          <w:lang w:val="ro-RO"/>
        </w:rPr>
        <w:t>:</w:t>
      </w:r>
    </w:p>
    <w:p w14:paraId="0607CEC2" w14:textId="44991A3C" w:rsidR="009B7A2B" w:rsidRPr="005A273B" w:rsidRDefault="00642DCA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>“</w:t>
      </w:r>
      <w:r w:rsidR="009B7A2B" w:rsidRPr="005A273B">
        <w:rPr>
          <w:rFonts w:ascii="Tahoma" w:hAnsi="Tahoma" w:cs="Tahoma"/>
          <w:color w:val="525252" w:themeColor="accent3" w:themeShade="80"/>
          <w:lang w:val="ro-RO"/>
        </w:rPr>
        <w:t xml:space="preserve">Nerespectarea prevederilor alin. (3)-(5) atrage nulitatea absolută a deciziilor directorilor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direcțiilor</w:t>
      </w:r>
      <w:r w:rsidR="009B7A2B" w:rsidRPr="005A273B">
        <w:rPr>
          <w:rFonts w:ascii="Tahoma" w:hAnsi="Tahoma" w:cs="Tahoma"/>
          <w:color w:val="525252" w:themeColor="accent3" w:themeShade="80"/>
          <w:lang w:val="ro-RO"/>
        </w:rPr>
        <w:t xml:space="preserve"> generale ale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finanțelor</w:t>
      </w:r>
      <w:r w:rsidR="009B7A2B" w:rsidRPr="005A273B">
        <w:rPr>
          <w:rFonts w:ascii="Tahoma" w:hAnsi="Tahoma" w:cs="Tahoma"/>
          <w:color w:val="525252" w:themeColor="accent3" w:themeShade="80"/>
          <w:lang w:val="ro-RO"/>
        </w:rPr>
        <w:t xml:space="preserve"> publice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și</w:t>
      </w:r>
      <w:r w:rsidR="009B7A2B" w:rsidRPr="005A273B">
        <w:rPr>
          <w:rFonts w:ascii="Tahoma" w:hAnsi="Tahoma" w:cs="Tahoma"/>
          <w:color w:val="525252" w:themeColor="accent3" w:themeShade="80"/>
          <w:lang w:val="ro-RO"/>
        </w:rPr>
        <w:t xml:space="preserve"> a hotărârilor adoptate de consiliile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județene</w:t>
      </w:r>
      <w:r w:rsidR="009B7A2B" w:rsidRPr="005A273B">
        <w:rPr>
          <w:rFonts w:ascii="Tahoma" w:hAnsi="Tahoma" w:cs="Tahoma"/>
          <w:color w:val="525252" w:themeColor="accent3" w:themeShade="80"/>
          <w:lang w:val="ro-RO"/>
        </w:rPr>
        <w:t xml:space="preserve"> pentru repartizarea sumelor </w:t>
      </w:r>
      <w:proofErr w:type="spellStart"/>
      <w:r w:rsidR="009B7A2B" w:rsidRPr="005A273B">
        <w:rPr>
          <w:rFonts w:ascii="Tahoma" w:hAnsi="Tahoma" w:cs="Tahoma"/>
          <w:color w:val="525252" w:themeColor="accent3" w:themeShade="80"/>
          <w:lang w:val="ro-RO"/>
        </w:rPr>
        <w:t>şi</w:t>
      </w:r>
      <w:proofErr w:type="spellEnd"/>
      <w:r w:rsidR="009B7A2B" w:rsidRPr="005A273B">
        <w:rPr>
          <w:rFonts w:ascii="Tahoma" w:hAnsi="Tahoma" w:cs="Tahoma"/>
          <w:color w:val="525252" w:themeColor="accent3" w:themeShade="80"/>
          <w:lang w:val="ro-RO"/>
        </w:rPr>
        <w:t xml:space="preserve"> a cotelor defalcate din unele venituri ale bugetului de stat pentru </w:t>
      </w:r>
      <w:r w:rsidR="009B7A2B" w:rsidRPr="005A273B">
        <w:rPr>
          <w:rFonts w:ascii="Tahoma" w:hAnsi="Tahoma" w:cs="Tahoma"/>
          <w:color w:val="525252" w:themeColor="accent3" w:themeShade="80"/>
          <w:lang w:val="ro-RO"/>
        </w:rPr>
        <w:lastRenderedPageBreak/>
        <w:t xml:space="preserve">echilibrarea bugetelor locale, urmând să se emită o nouă decizie, respectiv o nouă hotărâre, în termen de 5 zile lucrătoare de la data anulării acestora. Nulitatea se constată de către </w:t>
      </w:r>
      <w:r w:rsidR="005A273B" w:rsidRPr="005A273B">
        <w:rPr>
          <w:rFonts w:ascii="Tahoma" w:hAnsi="Tahoma" w:cs="Tahoma"/>
          <w:color w:val="525252" w:themeColor="accent3" w:themeShade="80"/>
          <w:lang w:val="ro-RO"/>
        </w:rPr>
        <w:t>instanța</w:t>
      </w:r>
      <w:r w:rsidR="009B7A2B" w:rsidRPr="005A273B">
        <w:rPr>
          <w:rFonts w:ascii="Tahoma" w:hAnsi="Tahoma" w:cs="Tahoma"/>
          <w:color w:val="525252" w:themeColor="accent3" w:themeShade="80"/>
          <w:lang w:val="ro-RO"/>
        </w:rPr>
        <w:t xml:space="preserve"> de contencios administrativ, la sesizarea prefectului sau a oricărei alte persoane interesate.</w:t>
      </w:r>
      <w:r w:rsidRPr="005A273B">
        <w:rPr>
          <w:rFonts w:ascii="Tahoma" w:hAnsi="Tahoma" w:cs="Tahoma"/>
          <w:color w:val="525252" w:themeColor="accent3" w:themeShade="80"/>
          <w:lang w:val="ro-RO"/>
        </w:rPr>
        <w:t>”</w:t>
      </w:r>
    </w:p>
    <w:p w14:paraId="0A1CD5B3" w14:textId="77777777" w:rsidR="00096181" w:rsidRPr="005A273B" w:rsidRDefault="00096181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613561C7" w14:textId="77777777" w:rsidR="00C5285E" w:rsidRPr="005A273B" w:rsidRDefault="00C5285E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53052DA8" w14:textId="77777777" w:rsidR="00C5285E" w:rsidRPr="005A273B" w:rsidRDefault="00C5285E" w:rsidP="009B7A2B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2D626513" w14:textId="77777777" w:rsidR="00485D88" w:rsidRPr="005A273B" w:rsidRDefault="00485D88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4269E792" w14:textId="77777777" w:rsidR="00485D88" w:rsidRPr="005A273B" w:rsidRDefault="00485D88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4C80F5C1" w14:textId="77777777" w:rsidR="00485D88" w:rsidRPr="005A273B" w:rsidRDefault="00485D88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4AA6DC7C" w14:textId="77777777" w:rsidR="009369E2" w:rsidRPr="005A273B" w:rsidRDefault="009369E2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5A42FAFB" w14:textId="77777777" w:rsidR="009369E2" w:rsidRPr="005A273B" w:rsidRDefault="009369E2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4C60A7D0" w14:textId="77777777" w:rsidR="00336677" w:rsidRPr="005A273B" w:rsidRDefault="00336677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76CBC181" w14:textId="020E86BC" w:rsidR="00336677" w:rsidRPr="005A273B" w:rsidRDefault="00336677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  <w:r w:rsidRPr="005A273B">
        <w:rPr>
          <w:rFonts w:ascii="Tahoma" w:hAnsi="Tahoma" w:cs="Tahoma"/>
          <w:color w:val="525252" w:themeColor="accent3" w:themeShade="80"/>
          <w:lang w:val="ro-RO"/>
        </w:rPr>
        <w:t xml:space="preserve"> </w:t>
      </w:r>
    </w:p>
    <w:p w14:paraId="7DA141C6" w14:textId="77777777" w:rsidR="00336677" w:rsidRPr="005A273B" w:rsidRDefault="00336677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0AC31BDC" w14:textId="77777777" w:rsidR="000232B3" w:rsidRPr="005A273B" w:rsidRDefault="000232B3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70DCE5F3" w14:textId="21633CB9" w:rsidR="000232B3" w:rsidRPr="005A273B" w:rsidRDefault="000232B3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4718DC92" w14:textId="77777777" w:rsidR="000232B3" w:rsidRPr="005A273B" w:rsidRDefault="000232B3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50EFB30C" w14:textId="77777777" w:rsidR="000232B3" w:rsidRPr="005A273B" w:rsidRDefault="000232B3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2DAC3741" w14:textId="77777777" w:rsidR="008069E1" w:rsidRPr="005A273B" w:rsidRDefault="008069E1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3952DB7E" w14:textId="3E2091F2" w:rsidR="004872F4" w:rsidRPr="005A273B" w:rsidRDefault="004872F4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7B685A40" w14:textId="3C8A09E3" w:rsidR="004740F6" w:rsidRPr="005A273B" w:rsidRDefault="004740F6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3157191C" w14:textId="77777777" w:rsidR="004740F6" w:rsidRPr="005A273B" w:rsidRDefault="004740F6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2657AA5F" w14:textId="77777777" w:rsidR="004740F6" w:rsidRPr="005A273B" w:rsidRDefault="004740F6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20EDD8FE" w14:textId="77777777" w:rsidR="004740F6" w:rsidRPr="005A273B" w:rsidRDefault="004740F6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2363A829" w14:textId="77777777" w:rsidR="004740F6" w:rsidRPr="005A273B" w:rsidRDefault="004740F6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p w14:paraId="762FB5CB" w14:textId="5A41F51C" w:rsidR="004740F6" w:rsidRPr="005A273B" w:rsidRDefault="004740F6" w:rsidP="009369E2">
      <w:pPr>
        <w:pStyle w:val="Frspaiere"/>
        <w:spacing w:line="360" w:lineRule="auto"/>
        <w:jc w:val="both"/>
        <w:rPr>
          <w:rFonts w:ascii="Tahoma" w:hAnsi="Tahoma" w:cs="Tahoma"/>
          <w:color w:val="525252" w:themeColor="accent3" w:themeShade="80"/>
          <w:lang w:val="ro-RO"/>
        </w:rPr>
      </w:pPr>
    </w:p>
    <w:sectPr w:rsidR="004740F6" w:rsidRPr="005A27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CE71" w14:textId="77777777" w:rsidR="00B915E8" w:rsidRDefault="00B915E8" w:rsidP="005C3C3F">
      <w:pPr>
        <w:spacing w:after="0" w:line="240" w:lineRule="auto"/>
      </w:pPr>
      <w:r>
        <w:separator/>
      </w:r>
    </w:p>
  </w:endnote>
  <w:endnote w:type="continuationSeparator" w:id="0">
    <w:p w14:paraId="388CE0C8" w14:textId="77777777" w:rsidR="00B915E8" w:rsidRDefault="00B915E8" w:rsidP="005C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82011125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33D861" w14:textId="3DE09464" w:rsidR="005C3C3F" w:rsidRPr="005C3C3F" w:rsidRDefault="005C3C3F">
            <w:pPr>
              <w:pStyle w:val="Subsol"/>
              <w:jc w:val="right"/>
              <w:rPr>
                <w:i/>
                <w:iCs/>
              </w:rPr>
            </w:pPr>
            <w:r w:rsidRPr="005C3C3F">
              <w:rPr>
                <w:i/>
                <w:iCs/>
              </w:rPr>
              <w:t xml:space="preserve">Pagina </w:t>
            </w:r>
            <w:r w:rsidRPr="005C3C3F">
              <w:rPr>
                <w:i/>
                <w:iCs/>
                <w:sz w:val="24"/>
                <w:szCs w:val="24"/>
              </w:rPr>
              <w:fldChar w:fldCharType="begin"/>
            </w:r>
            <w:r w:rsidRPr="005C3C3F">
              <w:rPr>
                <w:i/>
                <w:iCs/>
              </w:rPr>
              <w:instrText xml:space="preserve"> PAGE </w:instrText>
            </w:r>
            <w:r w:rsidRPr="005C3C3F">
              <w:rPr>
                <w:i/>
                <w:iCs/>
                <w:sz w:val="24"/>
                <w:szCs w:val="24"/>
              </w:rPr>
              <w:fldChar w:fldCharType="separate"/>
            </w:r>
            <w:r w:rsidR="00B05BA3">
              <w:rPr>
                <w:i/>
                <w:iCs/>
                <w:noProof/>
              </w:rPr>
              <w:t>8</w:t>
            </w:r>
            <w:r w:rsidRPr="005C3C3F">
              <w:rPr>
                <w:i/>
                <w:iCs/>
                <w:sz w:val="24"/>
                <w:szCs w:val="24"/>
              </w:rPr>
              <w:fldChar w:fldCharType="end"/>
            </w:r>
            <w:r w:rsidRPr="005C3C3F">
              <w:rPr>
                <w:i/>
                <w:iCs/>
              </w:rPr>
              <w:t xml:space="preserve"> din </w:t>
            </w:r>
            <w:r w:rsidRPr="005C3C3F">
              <w:rPr>
                <w:i/>
                <w:iCs/>
                <w:sz w:val="24"/>
                <w:szCs w:val="24"/>
              </w:rPr>
              <w:fldChar w:fldCharType="begin"/>
            </w:r>
            <w:r w:rsidRPr="005C3C3F">
              <w:rPr>
                <w:i/>
                <w:iCs/>
              </w:rPr>
              <w:instrText xml:space="preserve"> NUMPAGES  </w:instrText>
            </w:r>
            <w:r w:rsidRPr="005C3C3F">
              <w:rPr>
                <w:i/>
                <w:iCs/>
                <w:sz w:val="24"/>
                <w:szCs w:val="24"/>
              </w:rPr>
              <w:fldChar w:fldCharType="separate"/>
            </w:r>
            <w:r w:rsidR="00B05BA3">
              <w:rPr>
                <w:i/>
                <w:iCs/>
                <w:noProof/>
              </w:rPr>
              <w:t>8</w:t>
            </w:r>
            <w:r w:rsidRPr="005C3C3F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674E3440" w14:textId="77777777" w:rsidR="005C3C3F" w:rsidRDefault="005C3C3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8D57" w14:textId="77777777" w:rsidR="00B915E8" w:rsidRDefault="00B915E8" w:rsidP="005C3C3F">
      <w:pPr>
        <w:spacing w:after="0" w:line="240" w:lineRule="auto"/>
      </w:pPr>
      <w:r>
        <w:separator/>
      </w:r>
    </w:p>
  </w:footnote>
  <w:footnote w:type="continuationSeparator" w:id="0">
    <w:p w14:paraId="0173EEC4" w14:textId="77777777" w:rsidR="00B915E8" w:rsidRDefault="00B915E8" w:rsidP="005C3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314352A"/>
    <w:multiLevelType w:val="hybridMultilevel"/>
    <w:tmpl w:val="DC8EB7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581B"/>
    <w:multiLevelType w:val="hybridMultilevel"/>
    <w:tmpl w:val="A574EE4C"/>
    <w:lvl w:ilvl="0" w:tplc="587E47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3ED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47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5EC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83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F840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0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2E1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7CF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772B9F"/>
    <w:multiLevelType w:val="hybridMultilevel"/>
    <w:tmpl w:val="B58E862E"/>
    <w:lvl w:ilvl="0" w:tplc="9A623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32C1"/>
    <w:multiLevelType w:val="hybridMultilevel"/>
    <w:tmpl w:val="D89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F6"/>
    <w:rsid w:val="000232B3"/>
    <w:rsid w:val="00024D17"/>
    <w:rsid w:val="00096181"/>
    <w:rsid w:val="000D214D"/>
    <w:rsid w:val="00167486"/>
    <w:rsid w:val="00176B38"/>
    <w:rsid w:val="001B6BD0"/>
    <w:rsid w:val="00215733"/>
    <w:rsid w:val="002269E8"/>
    <w:rsid w:val="002C59F6"/>
    <w:rsid w:val="00336677"/>
    <w:rsid w:val="003834A6"/>
    <w:rsid w:val="003A6C5A"/>
    <w:rsid w:val="004740F6"/>
    <w:rsid w:val="00477890"/>
    <w:rsid w:val="00485D88"/>
    <w:rsid w:val="004872F4"/>
    <w:rsid w:val="004B04AB"/>
    <w:rsid w:val="00537AE5"/>
    <w:rsid w:val="005A273B"/>
    <w:rsid w:val="005C3C3F"/>
    <w:rsid w:val="00642DCA"/>
    <w:rsid w:val="007002DB"/>
    <w:rsid w:val="00724677"/>
    <w:rsid w:val="00734CBB"/>
    <w:rsid w:val="00745FA5"/>
    <w:rsid w:val="007545F8"/>
    <w:rsid w:val="007C2D1A"/>
    <w:rsid w:val="0080630D"/>
    <w:rsid w:val="008069E1"/>
    <w:rsid w:val="008A5230"/>
    <w:rsid w:val="008C2CF4"/>
    <w:rsid w:val="00900A2D"/>
    <w:rsid w:val="00911EE8"/>
    <w:rsid w:val="009369E2"/>
    <w:rsid w:val="009B7A2B"/>
    <w:rsid w:val="009E6C31"/>
    <w:rsid w:val="00A12F7A"/>
    <w:rsid w:val="00A57C41"/>
    <w:rsid w:val="00AB2C02"/>
    <w:rsid w:val="00AB61EC"/>
    <w:rsid w:val="00AF1EAB"/>
    <w:rsid w:val="00B05BA3"/>
    <w:rsid w:val="00B4465D"/>
    <w:rsid w:val="00B915E8"/>
    <w:rsid w:val="00BA4D50"/>
    <w:rsid w:val="00BF6642"/>
    <w:rsid w:val="00C05857"/>
    <w:rsid w:val="00C35F1E"/>
    <w:rsid w:val="00C5285E"/>
    <w:rsid w:val="00CE732E"/>
    <w:rsid w:val="00D24829"/>
    <w:rsid w:val="00D36194"/>
    <w:rsid w:val="00F01DFA"/>
    <w:rsid w:val="00F46F82"/>
    <w:rsid w:val="00FB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62C0"/>
  <w15:chartTrackingRefBased/>
  <w15:docId w15:val="{E6E6D629-D5C6-4AC8-858B-1678BACE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474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74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740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74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740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74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74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74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74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74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74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740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740F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740F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740F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740F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740F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740F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74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7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74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74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74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740F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740F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740F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74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740F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740F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4740F6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740F6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4740F6"/>
    <w:pPr>
      <w:spacing w:after="0" w:line="240" w:lineRule="auto"/>
    </w:pPr>
  </w:style>
  <w:style w:type="paragraph" w:customStyle="1" w:styleId="List1">
    <w:name w:val="List 1"/>
    <w:basedOn w:val="Normal"/>
    <w:link w:val="List1Char"/>
    <w:qFormat/>
    <w:rsid w:val="005C3C3F"/>
    <w:pPr>
      <w:spacing w:before="240" w:after="240" w:line="360" w:lineRule="auto"/>
      <w:contextualSpacing/>
      <w:jc w:val="both"/>
    </w:pPr>
    <w:rPr>
      <w:rFonts w:ascii="Tahoma" w:eastAsia="Calibri" w:hAnsi="Tahoma" w:cs="Tahoma"/>
      <w:kern w:val="20"/>
      <w:sz w:val="20"/>
      <w:szCs w:val="20"/>
      <w14:ligatures w14:val="none"/>
    </w:rPr>
  </w:style>
  <w:style w:type="character" w:customStyle="1" w:styleId="List1Char">
    <w:name w:val="List 1 Char"/>
    <w:link w:val="List1"/>
    <w:rsid w:val="005C3C3F"/>
    <w:rPr>
      <w:rFonts w:ascii="Tahoma" w:eastAsia="Calibri" w:hAnsi="Tahoma" w:cs="Tahoma"/>
      <w:kern w:val="20"/>
      <w:sz w:val="20"/>
      <w:szCs w:val="20"/>
      <w:lang w:val="ro-RO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5C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C3C3F"/>
  </w:style>
  <w:style w:type="paragraph" w:styleId="Subsol">
    <w:name w:val="footer"/>
    <w:basedOn w:val="Normal"/>
    <w:link w:val="SubsolCaracter"/>
    <w:uiPriority w:val="99"/>
    <w:unhideWhenUsed/>
    <w:rsid w:val="005C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C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00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1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8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6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1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38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7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1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0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1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4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8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3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3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4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21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4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31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8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9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7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8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60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0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9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8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0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597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7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16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36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7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2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11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2500</Words>
  <Characters>14506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matei</dc:creator>
  <cp:keywords/>
  <dc:description/>
  <cp:lastModifiedBy>Emanuela Jugureanu</cp:lastModifiedBy>
  <cp:revision>2</cp:revision>
  <cp:lastPrinted>2025-01-23T09:51:00Z</cp:lastPrinted>
  <dcterms:created xsi:type="dcterms:W3CDTF">2025-01-28T07:25:00Z</dcterms:created>
  <dcterms:modified xsi:type="dcterms:W3CDTF">2025-01-28T07:25:00Z</dcterms:modified>
</cp:coreProperties>
</file>