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704B" w14:textId="77777777" w:rsidR="00FA0C94" w:rsidRDefault="00FA0C94" w:rsidP="000C0B05"/>
    <w:p w14:paraId="3481AF52" w14:textId="77777777" w:rsidR="00FA0C94" w:rsidRDefault="00FA0C94" w:rsidP="000C0B05"/>
    <w:p w14:paraId="1D27ECE9" w14:textId="6FD852C9" w:rsidR="00375BFB" w:rsidRPr="00FA0C94" w:rsidRDefault="00227046" w:rsidP="000C0B05">
      <w:r w:rsidRPr="00FA0C94">
        <w:t xml:space="preserve">Dispariția disciplinei </w:t>
      </w:r>
      <w:r w:rsidRPr="00FA0C94">
        <w:rPr>
          <w:i/>
          <w:iCs/>
        </w:rPr>
        <w:t>Istorie</w:t>
      </w:r>
      <w:r w:rsidRPr="00FA0C94">
        <w:t xml:space="preserve"> din trunchiul comun în clasele a XI-a și a XII-a va conduce</w:t>
      </w:r>
      <w:r w:rsidR="00FA0C94">
        <w:t xml:space="preserve"> la</w:t>
      </w:r>
      <w:r w:rsidRPr="00FA0C94">
        <w:t xml:space="preserve"> situația în care elevii din cadrul mai multor profiluri și specializări să fie limitați la a o studia doar în primele două clase din învățământul liceal.</w:t>
      </w:r>
      <w:r w:rsidR="00375BFB" w:rsidRPr="00FA0C94">
        <w:t xml:space="preserve"> Principalele efecte ale posibilei decizii vor fi:</w:t>
      </w:r>
    </w:p>
    <w:p w14:paraId="182D88F8" w14:textId="2429000A" w:rsidR="00375BFB" w:rsidRDefault="00375BFB" w:rsidP="00375BFB">
      <w:pPr>
        <w:pStyle w:val="ListParagraph"/>
        <w:numPr>
          <w:ilvl w:val="0"/>
          <w:numId w:val="15"/>
        </w:numPr>
      </w:pPr>
      <w:r w:rsidRPr="00FA0C94">
        <w:t>Limitarea contextului în care elevii vor putea să dobândească sau, după caz, consolideze elementele de cultură generală;</w:t>
      </w:r>
    </w:p>
    <w:p w14:paraId="3A616862" w14:textId="3AE5A52C" w:rsidR="000D0C92" w:rsidRPr="00FA0C94" w:rsidRDefault="00136EDE" w:rsidP="00375BFB">
      <w:pPr>
        <w:pStyle w:val="ListParagraph"/>
        <w:numPr>
          <w:ilvl w:val="0"/>
          <w:numId w:val="15"/>
        </w:numPr>
      </w:pPr>
      <w:r>
        <w:t>Restrângerea</w:t>
      </w:r>
      <w:r w:rsidR="000D0C92">
        <w:t xml:space="preserve"> </w:t>
      </w:r>
      <w:r>
        <w:t>cultivării</w:t>
      </w:r>
      <w:r w:rsidR="000D0C92">
        <w:t xml:space="preserve"> unor valori democratice;</w:t>
      </w:r>
    </w:p>
    <w:p w14:paraId="37BC9FA6" w14:textId="1B9B9EF1" w:rsidR="00375BFB" w:rsidRPr="00FA0C94" w:rsidRDefault="00375BFB" w:rsidP="00375BFB">
      <w:pPr>
        <w:pStyle w:val="ListParagraph"/>
        <w:numPr>
          <w:ilvl w:val="0"/>
          <w:numId w:val="15"/>
        </w:numPr>
      </w:pPr>
      <w:r w:rsidRPr="00FA0C94">
        <w:t>Impact negativ asupra modului în care elevii se vor pregăti pentru examenul de Bacalaureat și concursuri școlare sau olimpiade, cei interesați fiind dezavantajați prin reducerea numărului de ore;</w:t>
      </w:r>
    </w:p>
    <w:p w14:paraId="2E6290AE" w14:textId="43F41549" w:rsidR="00375BFB" w:rsidRPr="00FA0C94" w:rsidRDefault="00375BFB" w:rsidP="00375BFB">
      <w:pPr>
        <w:pStyle w:val="ListParagraph"/>
        <w:numPr>
          <w:ilvl w:val="0"/>
          <w:numId w:val="15"/>
        </w:numPr>
      </w:pPr>
      <w:r w:rsidRPr="00FA0C94">
        <w:t>Diferențieri între absolvenți raportat la un minim de cunoaștere istorică;</w:t>
      </w:r>
    </w:p>
    <w:p w14:paraId="34C0B002" w14:textId="58ECE327" w:rsidR="00375BFB" w:rsidRPr="00FA0C94" w:rsidRDefault="00375BFB" w:rsidP="00375BFB">
      <w:r w:rsidRPr="00FA0C94">
        <w:t>Practic, prin desfășurarea certă a orei de istorie în primii doi ani de liceu, elevii din România vor fi în situația de a risca să devină analfabeți funcțional din punct de vedere istoric, rămânând cu o perspectivă superficială asupra trecutului. Orele de istorie din învățământul liceal au rolul de a consolida informațiile și competențele dobândite anterior. Este imposibil ca parcurgerea istoriei românilor și a istoriei universale să se realizeze în doar doi ani de învățământ liceal, cu o singură oră de istorie pe săptămână cum este prefigurat a se întâmpla.</w:t>
      </w:r>
    </w:p>
    <w:p w14:paraId="1557461C" w14:textId="77777777" w:rsidR="00B943B5" w:rsidRPr="00FA0C94" w:rsidRDefault="00B943B5" w:rsidP="00375BFB">
      <w:r w:rsidRPr="00FA0C94">
        <w:t xml:space="preserve">Odată cu adoptarea Legii învățământului preuniversitar nr. 198/2023, disciplina </w:t>
      </w:r>
      <w:r w:rsidRPr="00FA0C94">
        <w:rPr>
          <w:i/>
          <w:iCs/>
        </w:rPr>
        <w:t xml:space="preserve">Istorie </w:t>
      </w:r>
      <w:r w:rsidRPr="00FA0C94">
        <w:t>a cunoscut un regres prin faptul că aceasta nu mai este disciplină obligatorie în cadrul examenului de Bacalaureat, pentru elevii de la specializarea filologie, profilul umanist.</w:t>
      </w:r>
    </w:p>
    <w:p w14:paraId="22246937" w14:textId="2CD0C05E" w:rsidR="00B943B5" w:rsidRPr="00FA0C94" w:rsidRDefault="00B943B5" w:rsidP="00375BFB">
      <w:r w:rsidRPr="00FA0C94">
        <w:t>În schimb, este salutar faptul că elevii care vor absolvi profilul real, filiera teoretică, vor putea opta pentru Istorie în vederea evaluării competențelor de bază (Proba F), însă ne întrebăm în ce măsură elevii vor opta pentru o disciplină studiată cu doi ani școlari în urmă. Dincolo de pasiunea pe care o pot exprima, elevii se vor orienta către o disciplină mai apropiată de momentul susținerii examenului.</w:t>
      </w:r>
    </w:p>
    <w:p w14:paraId="2772A88D" w14:textId="65A076EA" w:rsidR="00954B5D" w:rsidRPr="00FA0C94" w:rsidRDefault="00954B5D" w:rsidP="00375BFB">
      <w:r w:rsidRPr="00FA0C94">
        <w:t xml:space="preserve">Suplimentar, disciplina de istorie va trebui să abordeze și următoarele teme, ca parte a ariei curriculare </w:t>
      </w:r>
      <w:r w:rsidRPr="00FA0C94">
        <w:rPr>
          <w:i/>
          <w:iCs/>
        </w:rPr>
        <w:t>Om și societate</w:t>
      </w:r>
      <w:r w:rsidRPr="00FA0C94">
        <w:t>:</w:t>
      </w:r>
    </w:p>
    <w:p w14:paraId="7004F118" w14:textId="77777777" w:rsidR="00954B5D" w:rsidRPr="00FA0C94" w:rsidRDefault="00954B5D" w:rsidP="009B513F">
      <w:pPr>
        <w:pStyle w:val="ListParagraph"/>
        <w:numPr>
          <w:ilvl w:val="0"/>
          <w:numId w:val="15"/>
        </w:numPr>
      </w:pPr>
      <w:r w:rsidRPr="00FA0C94">
        <w:t>Educație juridică (inclusiv noțiuni privind statul de drept, prevenirea victimizării și discriminării, gestionarea agresivității și prevenirea corupției);</w:t>
      </w:r>
    </w:p>
    <w:p w14:paraId="5973FCA9" w14:textId="7B895F55" w:rsidR="00954B5D" w:rsidRPr="00FA0C94" w:rsidRDefault="00954B5D" w:rsidP="009B513F">
      <w:pPr>
        <w:pStyle w:val="ListParagraph"/>
        <w:numPr>
          <w:ilvl w:val="0"/>
          <w:numId w:val="15"/>
        </w:numPr>
      </w:pPr>
      <w:r w:rsidRPr="00FA0C94">
        <w:t>Educație antreprenorială;</w:t>
      </w:r>
    </w:p>
    <w:p w14:paraId="118A3681" w14:textId="614D8BF1" w:rsidR="00954B5D" w:rsidRPr="00FA0C94" w:rsidRDefault="00954B5D" w:rsidP="009B513F">
      <w:pPr>
        <w:pStyle w:val="ListParagraph"/>
        <w:numPr>
          <w:ilvl w:val="0"/>
          <w:numId w:val="15"/>
        </w:numPr>
      </w:pPr>
      <w:r w:rsidRPr="00FA0C94">
        <w:t>Educație civică;</w:t>
      </w:r>
    </w:p>
    <w:p w14:paraId="1B66E81F" w14:textId="42A20D79" w:rsidR="00954B5D" w:rsidRPr="00FA0C94" w:rsidRDefault="00954B5D" w:rsidP="009B513F">
      <w:pPr>
        <w:pStyle w:val="ListParagraph"/>
        <w:numPr>
          <w:ilvl w:val="0"/>
          <w:numId w:val="15"/>
        </w:numPr>
      </w:pPr>
      <w:r w:rsidRPr="00FA0C94">
        <w:t>Istorie și civilizație locală;</w:t>
      </w:r>
    </w:p>
    <w:p w14:paraId="345900BE" w14:textId="773A852E" w:rsidR="00954B5D" w:rsidRPr="00FA0C94" w:rsidRDefault="00954B5D" w:rsidP="009B513F">
      <w:pPr>
        <w:pStyle w:val="ListParagraph"/>
        <w:numPr>
          <w:ilvl w:val="0"/>
          <w:numId w:val="15"/>
        </w:numPr>
      </w:pPr>
      <w:r w:rsidRPr="00FA0C94">
        <w:t>Educație interculturală;</w:t>
      </w:r>
    </w:p>
    <w:p w14:paraId="7208FC4E" w14:textId="47EE84F5" w:rsidR="00954B5D" w:rsidRPr="00FA0C94" w:rsidRDefault="00954B5D" w:rsidP="009B513F">
      <w:pPr>
        <w:pStyle w:val="ListParagraph"/>
        <w:numPr>
          <w:ilvl w:val="0"/>
          <w:numId w:val="15"/>
        </w:numPr>
      </w:pPr>
      <w:r w:rsidRPr="00FA0C94">
        <w:t>Educație pentru cetățenie democratică;</w:t>
      </w:r>
    </w:p>
    <w:p w14:paraId="643CD02A" w14:textId="5AF56834" w:rsidR="00954B5D" w:rsidRPr="00FA0C94" w:rsidRDefault="00954B5D" w:rsidP="009B513F">
      <w:pPr>
        <w:pStyle w:val="ListParagraph"/>
        <w:numPr>
          <w:ilvl w:val="0"/>
          <w:numId w:val="15"/>
        </w:numPr>
      </w:pPr>
      <w:r w:rsidRPr="00FA0C94">
        <w:t>Educație pentru cetățenie europeană;</w:t>
      </w:r>
    </w:p>
    <w:p w14:paraId="352054F5" w14:textId="6E3A701C" w:rsidR="00954B5D" w:rsidRPr="00FA0C94" w:rsidRDefault="00954B5D" w:rsidP="00954B5D">
      <w:r w:rsidRPr="00FA0C94">
        <w:lastRenderedPageBreak/>
        <w:t>Toate temele de mai sus</w:t>
      </w:r>
      <w:r w:rsidR="00881DB3" w:rsidRPr="00FA0C94">
        <w:t xml:space="preserve">, deși necesare și care pot fi realizate prin intermediul disciplinei </w:t>
      </w:r>
      <w:r w:rsidR="00881DB3" w:rsidRPr="00FA0C94">
        <w:rPr>
          <w:i/>
          <w:iCs/>
        </w:rPr>
        <w:t>Istorie</w:t>
      </w:r>
      <w:r w:rsidR="00881DB3" w:rsidRPr="00FA0C94">
        <w:t>,</w:t>
      </w:r>
      <w:r w:rsidRPr="00FA0C94">
        <w:t xml:space="preserve"> vor fi integrate în numai cei doi ani de istorie rămași în trunchiul comun în cazul elevilor care studiază la:</w:t>
      </w:r>
    </w:p>
    <w:p w14:paraId="689755DA" w14:textId="317BC744" w:rsidR="00954B5D" w:rsidRPr="00FA0C94" w:rsidRDefault="00954B5D" w:rsidP="00954B5D">
      <w:pPr>
        <w:pStyle w:val="ListParagraph"/>
        <w:numPr>
          <w:ilvl w:val="0"/>
          <w:numId w:val="15"/>
        </w:numPr>
      </w:pPr>
      <w:r w:rsidRPr="00FA0C94">
        <w:t>Filiera teoretică, profilul real;</w:t>
      </w:r>
    </w:p>
    <w:p w14:paraId="7712A677" w14:textId="11C837BA" w:rsidR="00954B5D" w:rsidRPr="00FA0C94" w:rsidRDefault="00954B5D" w:rsidP="00954B5D">
      <w:pPr>
        <w:pStyle w:val="ListParagraph"/>
        <w:numPr>
          <w:ilvl w:val="0"/>
          <w:numId w:val="15"/>
        </w:numPr>
      </w:pPr>
      <w:r w:rsidRPr="00FA0C94">
        <w:t>Filiera tehnologică, toate specializările/calificările profesionale;</w:t>
      </w:r>
    </w:p>
    <w:p w14:paraId="5251A728" w14:textId="3F70A818" w:rsidR="00954B5D" w:rsidRPr="00FA0C94" w:rsidRDefault="00954B5D" w:rsidP="00954B5D">
      <w:pPr>
        <w:pStyle w:val="ListParagraph"/>
        <w:numPr>
          <w:ilvl w:val="0"/>
          <w:numId w:val="15"/>
        </w:numPr>
      </w:pPr>
      <w:r w:rsidRPr="00FA0C94">
        <w:t>Filiera vocațională, profilul artistic și sportiv;</w:t>
      </w:r>
    </w:p>
    <w:p w14:paraId="2F5EB81D" w14:textId="25A09CEA" w:rsidR="00954B5D" w:rsidRPr="00FA0C94" w:rsidRDefault="00954B5D" w:rsidP="00954B5D">
      <w:r w:rsidRPr="00FA0C94">
        <w:t xml:space="preserve">Scăderi ale numărului de ore se înregistrează și în cazul filierei teoretice, profilul umanist, atât la specializarea </w:t>
      </w:r>
      <w:r w:rsidRPr="00FA0C94">
        <w:rPr>
          <w:i/>
          <w:iCs/>
        </w:rPr>
        <w:t>Științe umaniste</w:t>
      </w:r>
      <w:r w:rsidRPr="00FA0C94">
        <w:t xml:space="preserve"> (câte o oră în minus începând cu clasa a X-a) sau </w:t>
      </w:r>
      <w:r w:rsidRPr="00FA0C94">
        <w:rPr>
          <w:i/>
          <w:iCs/>
        </w:rPr>
        <w:t>Filologie</w:t>
      </w:r>
      <w:r w:rsidRPr="00FA0C94">
        <w:t xml:space="preserve"> (o oră în minus în clasa a X-a). Și pregătirea absolvenților de învățământ pedagogic va presupune un număr mai scăzut de ore, deși este </w:t>
      </w:r>
      <w:r w:rsidR="000D0C92">
        <w:t>binevenit</w:t>
      </w:r>
      <w:r w:rsidRPr="00FA0C94">
        <w:t xml:space="preserve"> faptul că </w:t>
      </w:r>
      <w:r w:rsidRPr="00FA0C94">
        <w:rPr>
          <w:i/>
          <w:iCs/>
        </w:rPr>
        <w:t>Metodica predării istoriei și geografiei</w:t>
      </w:r>
      <w:r w:rsidRPr="00FA0C94">
        <w:t xml:space="preserve"> a fost împărțită în două discipline de specialitate, dintre care una este </w:t>
      </w:r>
      <w:r w:rsidRPr="00FA0C94">
        <w:rPr>
          <w:i/>
          <w:iCs/>
        </w:rPr>
        <w:t>Didactica specialității istorie</w:t>
      </w:r>
      <w:r w:rsidR="00AD6189" w:rsidRPr="00FA0C94">
        <w:t xml:space="preserve">, în cazul specializării </w:t>
      </w:r>
      <w:r w:rsidR="00AD6189" w:rsidRPr="00FA0C94">
        <w:rPr>
          <w:i/>
          <w:iCs/>
        </w:rPr>
        <w:t>Pedagogia învățământului primar</w:t>
      </w:r>
      <w:r w:rsidR="00AD6189" w:rsidRPr="00FA0C94">
        <w:t>.</w:t>
      </w:r>
    </w:p>
    <w:p w14:paraId="7082A0A7" w14:textId="1AE5F80E" w:rsidR="00227046" w:rsidRPr="00FA0C94" w:rsidRDefault="00227046" w:rsidP="00954B5D">
      <w:r w:rsidRPr="00FA0C94">
        <w:t xml:space="preserve">Segmentul curricular CDEOȘ – Curriculum la decizia elevului din oferta școlii, deși </w:t>
      </w:r>
      <w:r w:rsidR="000D0C92">
        <w:t>ar putea fi</w:t>
      </w:r>
      <w:r w:rsidRPr="00FA0C94">
        <w:t xml:space="preserve"> utilizat în vederea recuperării unor ore în anumiți ani de studiu, conduce la situația în care profesorul de istorie </w:t>
      </w:r>
      <w:r w:rsidR="000D0C92">
        <w:t>se afla</w:t>
      </w:r>
      <w:r w:rsidRPr="00FA0C94">
        <w:t xml:space="preserve"> în imposibilitate de a previziona numărul de ani și de ore alocate pentru disciplina predată;</w:t>
      </w:r>
    </w:p>
    <w:p w14:paraId="052876FC" w14:textId="65ED84AE" w:rsidR="00227046" w:rsidRPr="00FA0C94" w:rsidRDefault="00227046" w:rsidP="00227046">
      <w:r w:rsidRPr="00FA0C94">
        <w:t xml:space="preserve">Discipline cu caracter istoric prevăzute de Legea învățământului preuniversitar nr. 198/2023, respectiv </w:t>
      </w:r>
      <w:r w:rsidRPr="00FA0C94">
        <w:rPr>
          <w:i/>
          <w:iCs/>
        </w:rPr>
        <w:t>Istoria evreilor. Holocaustul</w:t>
      </w:r>
      <w:r w:rsidRPr="00FA0C94">
        <w:t xml:space="preserve"> (clasa a XI-a) și </w:t>
      </w:r>
      <w:r w:rsidRPr="00FA0C94">
        <w:rPr>
          <w:i/>
          <w:iCs/>
        </w:rPr>
        <w:t>Istoria comunismului din România</w:t>
      </w:r>
      <w:r w:rsidRPr="00FA0C94">
        <w:t xml:space="preserve"> (clasa a XII-a) au reprezentat un răspuns politic la o serie de amenințări sociale, precum</w:t>
      </w:r>
      <w:r w:rsidR="00375BFB" w:rsidRPr="00FA0C94">
        <w:t>:</w:t>
      </w:r>
    </w:p>
    <w:p w14:paraId="1637B8B6" w14:textId="30D69A3C" w:rsidR="00375BFB" w:rsidRPr="00FA0C94" w:rsidRDefault="00375BFB" w:rsidP="00375BFB">
      <w:pPr>
        <w:pStyle w:val="ListParagraph"/>
        <w:numPr>
          <w:ilvl w:val="0"/>
          <w:numId w:val="14"/>
        </w:numPr>
      </w:pPr>
      <w:r w:rsidRPr="00FA0C94">
        <w:t>Ascensiunea extremismului și a radicalizării în spațiul public;</w:t>
      </w:r>
    </w:p>
    <w:p w14:paraId="5AA5CC9F" w14:textId="67037E1E" w:rsidR="00375BFB" w:rsidRPr="00FA0C94" w:rsidRDefault="00375BFB" w:rsidP="00375BFB">
      <w:pPr>
        <w:pStyle w:val="ListParagraph"/>
        <w:numPr>
          <w:ilvl w:val="0"/>
          <w:numId w:val="14"/>
        </w:numPr>
      </w:pPr>
      <w:r w:rsidRPr="00FA0C94">
        <w:t>Tendințele de minimalizare sau chiar negare a unor crime istorice, inclusiv prin manipularea evenimentelor istorice în scopuri politice;</w:t>
      </w:r>
    </w:p>
    <w:p w14:paraId="0109C81F" w14:textId="78B3F126" w:rsidR="00375BFB" w:rsidRPr="00FA0C94" w:rsidRDefault="00375BFB" w:rsidP="00375BFB">
      <w:pPr>
        <w:pStyle w:val="ListParagraph"/>
        <w:numPr>
          <w:ilvl w:val="0"/>
          <w:numId w:val="14"/>
        </w:numPr>
      </w:pPr>
      <w:r w:rsidRPr="00FA0C94">
        <w:t>Necesitatea consolidării memoriei colective în fața unor campanii de dezinformare și a propagării într-o manieră fără precedent a</w:t>
      </w:r>
      <w:r w:rsidR="000D0C92">
        <w:t xml:space="preserve"> ceea ce numim</w:t>
      </w:r>
      <w:r w:rsidRPr="00FA0C94">
        <w:t xml:space="preserve"> </w:t>
      </w:r>
      <w:proofErr w:type="spellStart"/>
      <w:r w:rsidRPr="00FA0C94">
        <w:rPr>
          <w:i/>
          <w:iCs/>
        </w:rPr>
        <w:t>fake</w:t>
      </w:r>
      <w:proofErr w:type="spellEnd"/>
      <w:r w:rsidRPr="00FA0C94">
        <w:rPr>
          <w:i/>
          <w:iCs/>
        </w:rPr>
        <w:t xml:space="preserve"> </w:t>
      </w:r>
      <w:proofErr w:type="spellStart"/>
      <w:r w:rsidRPr="00FA0C94">
        <w:rPr>
          <w:i/>
          <w:iCs/>
        </w:rPr>
        <w:t>news</w:t>
      </w:r>
      <w:proofErr w:type="spellEnd"/>
      <w:r w:rsidRPr="00FA0C94">
        <w:t>;</w:t>
      </w:r>
    </w:p>
    <w:p w14:paraId="43FB1B0F" w14:textId="223FDB15" w:rsidR="00881DB3" w:rsidRPr="00FA0C94" w:rsidRDefault="00881DB3" w:rsidP="00881DB3">
      <w:r w:rsidRPr="00FA0C94">
        <w:t>Documentul pus în consultare publică de Ministerul Educației și Cercetării prevede că este „</w:t>
      </w:r>
      <w:r w:rsidRPr="00FA0C94">
        <w:rPr>
          <w:b/>
          <w:bCs/>
        </w:rPr>
        <w:t>de analizat în timpul dezbaterilor dacă rămân discipline sau unități de învățare predefinite”.</w:t>
      </w:r>
      <w:r w:rsidRPr="00FA0C94">
        <w:t xml:space="preserve"> Apreciem că o transformarea </w:t>
      </w:r>
      <w:r w:rsidR="000D0C92">
        <w:t xml:space="preserve">a </w:t>
      </w:r>
      <w:r w:rsidRPr="00FA0C94">
        <w:t>acestor discipline în unități de învățare ar reprezenta un regres în raport cu răspunsul necesar în societate, mai ales în contextul evenimentelor din perioada alegerilor electorale de la sfârșitul anului trecut.</w:t>
      </w:r>
    </w:p>
    <w:tbl>
      <w:tblPr>
        <w:tblStyle w:val="TableGrid"/>
        <w:tblW w:w="5000" w:type="pct"/>
        <w:tblLayout w:type="fixed"/>
        <w:tblLook w:val="04A0" w:firstRow="1" w:lastRow="0" w:firstColumn="1" w:lastColumn="0" w:noHBand="0" w:noVBand="1"/>
      </w:tblPr>
      <w:tblGrid>
        <w:gridCol w:w="1413"/>
        <w:gridCol w:w="2066"/>
        <w:gridCol w:w="3319"/>
        <w:gridCol w:w="638"/>
        <w:gridCol w:w="638"/>
        <w:gridCol w:w="638"/>
        <w:gridCol w:w="638"/>
      </w:tblGrid>
      <w:tr w:rsidR="003B6B3C" w:rsidRPr="00FA0C94" w14:paraId="386F6C24" w14:textId="77777777" w:rsidTr="003B6B3C">
        <w:trPr>
          <w:trHeight w:val="300"/>
          <w:tblHeader/>
        </w:trPr>
        <w:tc>
          <w:tcPr>
            <w:tcW w:w="756" w:type="pct"/>
            <w:vMerge w:val="restart"/>
            <w:noWrap/>
            <w:vAlign w:val="center"/>
          </w:tcPr>
          <w:p w14:paraId="6D0E164A" w14:textId="66A1D83E" w:rsidR="003B6B3C" w:rsidRPr="00FA0C94" w:rsidRDefault="003B6B3C" w:rsidP="003B6B3C">
            <w:pPr>
              <w:jc w:val="center"/>
              <w:rPr>
                <w:b/>
                <w:bCs/>
                <w:sz w:val="20"/>
                <w:szCs w:val="20"/>
                <w:lang w:eastAsia="ro-RO"/>
              </w:rPr>
            </w:pPr>
            <w:r w:rsidRPr="00FA0C94">
              <w:rPr>
                <w:b/>
                <w:bCs/>
                <w:sz w:val="20"/>
                <w:szCs w:val="20"/>
                <w:lang w:eastAsia="ro-RO"/>
              </w:rPr>
              <w:t>Filieră</w:t>
            </w:r>
          </w:p>
        </w:tc>
        <w:tc>
          <w:tcPr>
            <w:tcW w:w="1105" w:type="pct"/>
            <w:vMerge w:val="restart"/>
            <w:noWrap/>
            <w:vAlign w:val="center"/>
          </w:tcPr>
          <w:p w14:paraId="507A0E57" w14:textId="34FBB985" w:rsidR="003B6B3C" w:rsidRPr="00FA0C94" w:rsidRDefault="003B6B3C" w:rsidP="003B6B3C">
            <w:pPr>
              <w:jc w:val="center"/>
              <w:rPr>
                <w:b/>
                <w:bCs/>
                <w:sz w:val="20"/>
                <w:szCs w:val="20"/>
                <w:lang w:eastAsia="ro-RO"/>
              </w:rPr>
            </w:pPr>
            <w:r w:rsidRPr="00FA0C94">
              <w:rPr>
                <w:b/>
                <w:bCs/>
                <w:sz w:val="20"/>
                <w:szCs w:val="20"/>
                <w:lang w:eastAsia="ro-RO"/>
              </w:rPr>
              <w:t>Profil</w:t>
            </w:r>
          </w:p>
        </w:tc>
        <w:tc>
          <w:tcPr>
            <w:tcW w:w="1775" w:type="pct"/>
            <w:vMerge w:val="restart"/>
            <w:noWrap/>
            <w:vAlign w:val="center"/>
          </w:tcPr>
          <w:p w14:paraId="75850A60" w14:textId="0AD7C019" w:rsidR="003B6B3C" w:rsidRPr="00FA0C94" w:rsidRDefault="003B6B3C" w:rsidP="003B6B3C">
            <w:pPr>
              <w:jc w:val="center"/>
              <w:rPr>
                <w:b/>
                <w:bCs/>
                <w:sz w:val="20"/>
                <w:szCs w:val="20"/>
                <w:lang w:eastAsia="ro-RO"/>
              </w:rPr>
            </w:pPr>
            <w:r w:rsidRPr="00FA0C94">
              <w:rPr>
                <w:b/>
                <w:bCs/>
                <w:sz w:val="20"/>
                <w:szCs w:val="20"/>
                <w:lang w:eastAsia="ro-RO"/>
              </w:rPr>
              <w:t>Specializare</w:t>
            </w:r>
          </w:p>
        </w:tc>
        <w:tc>
          <w:tcPr>
            <w:tcW w:w="1365" w:type="pct"/>
            <w:gridSpan w:val="4"/>
            <w:noWrap/>
            <w:vAlign w:val="center"/>
          </w:tcPr>
          <w:p w14:paraId="037EF451" w14:textId="3BDE0BD6" w:rsidR="003B6B3C" w:rsidRPr="00FA0C94" w:rsidRDefault="003B6B3C" w:rsidP="003B6B3C">
            <w:pPr>
              <w:jc w:val="center"/>
              <w:rPr>
                <w:b/>
                <w:bCs/>
                <w:sz w:val="20"/>
                <w:szCs w:val="20"/>
                <w:lang w:eastAsia="ro-RO"/>
              </w:rPr>
            </w:pPr>
            <w:r w:rsidRPr="00FA0C94">
              <w:rPr>
                <w:b/>
                <w:bCs/>
                <w:sz w:val="20"/>
                <w:szCs w:val="20"/>
                <w:lang w:eastAsia="ro-RO"/>
              </w:rPr>
              <w:t>Clasa</w:t>
            </w:r>
          </w:p>
        </w:tc>
      </w:tr>
      <w:tr w:rsidR="003B6B3C" w:rsidRPr="00FA0C94" w14:paraId="656A8265" w14:textId="77777777" w:rsidTr="003B6B3C">
        <w:trPr>
          <w:trHeight w:val="300"/>
          <w:tblHeader/>
        </w:trPr>
        <w:tc>
          <w:tcPr>
            <w:tcW w:w="756" w:type="pct"/>
            <w:vMerge/>
            <w:noWrap/>
            <w:vAlign w:val="center"/>
            <w:hideMark/>
          </w:tcPr>
          <w:p w14:paraId="4F65BB57" w14:textId="03015EE3" w:rsidR="003B6B3C" w:rsidRPr="00FA0C94" w:rsidRDefault="003B6B3C" w:rsidP="003B6B3C">
            <w:pPr>
              <w:jc w:val="center"/>
              <w:rPr>
                <w:b/>
                <w:bCs/>
                <w:sz w:val="20"/>
                <w:szCs w:val="20"/>
                <w:lang w:eastAsia="ro-RO"/>
              </w:rPr>
            </w:pPr>
          </w:p>
        </w:tc>
        <w:tc>
          <w:tcPr>
            <w:tcW w:w="1105" w:type="pct"/>
            <w:vMerge/>
            <w:noWrap/>
            <w:vAlign w:val="center"/>
            <w:hideMark/>
          </w:tcPr>
          <w:p w14:paraId="0CD0C99B" w14:textId="49D2BF25" w:rsidR="003B6B3C" w:rsidRPr="00FA0C94" w:rsidRDefault="003B6B3C" w:rsidP="003B6B3C">
            <w:pPr>
              <w:jc w:val="center"/>
              <w:rPr>
                <w:b/>
                <w:bCs/>
                <w:sz w:val="20"/>
                <w:szCs w:val="20"/>
                <w:lang w:eastAsia="ro-RO"/>
              </w:rPr>
            </w:pPr>
          </w:p>
        </w:tc>
        <w:tc>
          <w:tcPr>
            <w:tcW w:w="1775" w:type="pct"/>
            <w:vMerge/>
            <w:noWrap/>
            <w:vAlign w:val="center"/>
            <w:hideMark/>
          </w:tcPr>
          <w:p w14:paraId="40D30059" w14:textId="54F66043" w:rsidR="003B6B3C" w:rsidRPr="00FA0C94" w:rsidRDefault="003B6B3C" w:rsidP="003B6B3C">
            <w:pPr>
              <w:jc w:val="center"/>
              <w:rPr>
                <w:b/>
                <w:bCs/>
                <w:sz w:val="20"/>
                <w:szCs w:val="20"/>
                <w:lang w:eastAsia="ro-RO"/>
              </w:rPr>
            </w:pPr>
          </w:p>
        </w:tc>
        <w:tc>
          <w:tcPr>
            <w:tcW w:w="341" w:type="pct"/>
            <w:noWrap/>
            <w:vAlign w:val="center"/>
            <w:hideMark/>
          </w:tcPr>
          <w:p w14:paraId="79C12348" w14:textId="7D3E4E57" w:rsidR="003B6B3C" w:rsidRPr="00FA0C94" w:rsidRDefault="003B6B3C" w:rsidP="003B6B3C">
            <w:pPr>
              <w:jc w:val="center"/>
              <w:rPr>
                <w:b/>
                <w:bCs/>
                <w:sz w:val="20"/>
                <w:szCs w:val="20"/>
                <w:lang w:eastAsia="ro-RO"/>
              </w:rPr>
            </w:pPr>
            <w:r w:rsidRPr="00FA0C94">
              <w:rPr>
                <w:b/>
                <w:bCs/>
                <w:sz w:val="20"/>
                <w:szCs w:val="20"/>
                <w:lang w:eastAsia="ro-RO"/>
              </w:rPr>
              <w:t>IX</w:t>
            </w:r>
          </w:p>
        </w:tc>
        <w:tc>
          <w:tcPr>
            <w:tcW w:w="341" w:type="pct"/>
            <w:noWrap/>
            <w:vAlign w:val="center"/>
            <w:hideMark/>
          </w:tcPr>
          <w:p w14:paraId="01736FE8" w14:textId="56956FAC" w:rsidR="003B6B3C" w:rsidRPr="00FA0C94" w:rsidRDefault="003B6B3C" w:rsidP="003B6B3C">
            <w:pPr>
              <w:jc w:val="center"/>
              <w:rPr>
                <w:b/>
                <w:bCs/>
                <w:sz w:val="20"/>
                <w:szCs w:val="20"/>
                <w:lang w:eastAsia="ro-RO"/>
              </w:rPr>
            </w:pPr>
            <w:r w:rsidRPr="00FA0C94">
              <w:rPr>
                <w:b/>
                <w:bCs/>
                <w:sz w:val="20"/>
                <w:szCs w:val="20"/>
                <w:lang w:eastAsia="ro-RO"/>
              </w:rPr>
              <w:t>X</w:t>
            </w:r>
          </w:p>
        </w:tc>
        <w:tc>
          <w:tcPr>
            <w:tcW w:w="341" w:type="pct"/>
            <w:noWrap/>
            <w:vAlign w:val="center"/>
            <w:hideMark/>
          </w:tcPr>
          <w:p w14:paraId="4498B660" w14:textId="259DC9E8" w:rsidR="003B6B3C" w:rsidRPr="00FA0C94" w:rsidRDefault="003B6B3C" w:rsidP="003B6B3C">
            <w:pPr>
              <w:jc w:val="center"/>
              <w:rPr>
                <w:b/>
                <w:bCs/>
                <w:sz w:val="20"/>
                <w:szCs w:val="20"/>
                <w:lang w:eastAsia="ro-RO"/>
              </w:rPr>
            </w:pPr>
            <w:r w:rsidRPr="00FA0C94">
              <w:rPr>
                <w:b/>
                <w:bCs/>
                <w:sz w:val="20"/>
                <w:szCs w:val="20"/>
                <w:lang w:eastAsia="ro-RO"/>
              </w:rPr>
              <w:t>XI</w:t>
            </w:r>
          </w:p>
        </w:tc>
        <w:tc>
          <w:tcPr>
            <w:tcW w:w="341" w:type="pct"/>
            <w:noWrap/>
            <w:vAlign w:val="center"/>
            <w:hideMark/>
          </w:tcPr>
          <w:p w14:paraId="31996954" w14:textId="2083BAAE" w:rsidR="003B6B3C" w:rsidRPr="00FA0C94" w:rsidRDefault="003B6B3C" w:rsidP="003B6B3C">
            <w:pPr>
              <w:jc w:val="center"/>
              <w:rPr>
                <w:b/>
                <w:bCs/>
                <w:sz w:val="20"/>
                <w:szCs w:val="20"/>
                <w:lang w:eastAsia="ro-RO"/>
              </w:rPr>
            </w:pPr>
            <w:r w:rsidRPr="00FA0C94">
              <w:rPr>
                <w:b/>
                <w:bCs/>
                <w:sz w:val="20"/>
                <w:szCs w:val="20"/>
                <w:lang w:eastAsia="ro-RO"/>
              </w:rPr>
              <w:t>XIII</w:t>
            </w:r>
          </w:p>
        </w:tc>
      </w:tr>
      <w:tr w:rsidR="003B6B3C" w:rsidRPr="00FA0C94" w14:paraId="01EB5FCF" w14:textId="77777777" w:rsidTr="003B6B3C">
        <w:trPr>
          <w:trHeight w:val="292"/>
        </w:trPr>
        <w:tc>
          <w:tcPr>
            <w:tcW w:w="756" w:type="pct"/>
            <w:vMerge w:val="restart"/>
            <w:noWrap/>
            <w:vAlign w:val="center"/>
            <w:hideMark/>
          </w:tcPr>
          <w:p w14:paraId="42195673" w14:textId="77777777" w:rsidR="003B6B3C" w:rsidRPr="00FA0C94" w:rsidRDefault="003B6B3C" w:rsidP="003B6B3C">
            <w:pPr>
              <w:jc w:val="center"/>
              <w:rPr>
                <w:sz w:val="20"/>
                <w:szCs w:val="20"/>
                <w:lang w:eastAsia="ro-RO"/>
              </w:rPr>
            </w:pPr>
            <w:r w:rsidRPr="00FA0C94">
              <w:rPr>
                <w:sz w:val="20"/>
                <w:szCs w:val="20"/>
                <w:lang w:eastAsia="ro-RO"/>
              </w:rPr>
              <w:t>Teoretică</w:t>
            </w:r>
          </w:p>
        </w:tc>
        <w:tc>
          <w:tcPr>
            <w:tcW w:w="1105" w:type="pct"/>
            <w:vMerge w:val="restart"/>
            <w:noWrap/>
            <w:vAlign w:val="center"/>
            <w:hideMark/>
          </w:tcPr>
          <w:p w14:paraId="611659FC" w14:textId="77777777" w:rsidR="003B6B3C" w:rsidRPr="00FA0C94" w:rsidRDefault="003B6B3C" w:rsidP="003B6B3C">
            <w:pPr>
              <w:jc w:val="center"/>
              <w:rPr>
                <w:sz w:val="20"/>
                <w:szCs w:val="20"/>
                <w:lang w:eastAsia="ro-RO"/>
              </w:rPr>
            </w:pPr>
            <w:r w:rsidRPr="00FA0C94">
              <w:rPr>
                <w:sz w:val="20"/>
                <w:szCs w:val="20"/>
                <w:lang w:eastAsia="ro-RO"/>
              </w:rPr>
              <w:t>Real</w:t>
            </w:r>
          </w:p>
        </w:tc>
        <w:tc>
          <w:tcPr>
            <w:tcW w:w="1775" w:type="pct"/>
            <w:noWrap/>
            <w:vAlign w:val="center"/>
            <w:hideMark/>
          </w:tcPr>
          <w:p w14:paraId="3186FB14" w14:textId="77777777" w:rsidR="003B6B3C" w:rsidRPr="00FA0C94" w:rsidRDefault="003B6B3C" w:rsidP="003B6B3C">
            <w:pPr>
              <w:rPr>
                <w:sz w:val="20"/>
                <w:szCs w:val="20"/>
                <w:lang w:eastAsia="ro-RO"/>
              </w:rPr>
            </w:pPr>
            <w:r w:rsidRPr="00FA0C94">
              <w:rPr>
                <w:sz w:val="20"/>
                <w:szCs w:val="20"/>
                <w:lang w:eastAsia="ro-RO"/>
              </w:rPr>
              <w:t>Matematică-informatică</w:t>
            </w:r>
          </w:p>
        </w:tc>
        <w:tc>
          <w:tcPr>
            <w:tcW w:w="341" w:type="pct"/>
            <w:noWrap/>
            <w:vAlign w:val="center"/>
            <w:hideMark/>
          </w:tcPr>
          <w:p w14:paraId="225B02A3"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1880EEED"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55AA70E"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21C79D54"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6610E1BE" w14:textId="77777777" w:rsidTr="003B6B3C">
        <w:trPr>
          <w:trHeight w:val="292"/>
        </w:trPr>
        <w:tc>
          <w:tcPr>
            <w:tcW w:w="756" w:type="pct"/>
            <w:vMerge/>
            <w:noWrap/>
            <w:vAlign w:val="center"/>
            <w:hideMark/>
          </w:tcPr>
          <w:p w14:paraId="3DC735D5" w14:textId="0133206A" w:rsidR="003B6B3C" w:rsidRPr="00FA0C94" w:rsidRDefault="003B6B3C" w:rsidP="003B6B3C">
            <w:pPr>
              <w:jc w:val="center"/>
              <w:rPr>
                <w:sz w:val="20"/>
                <w:szCs w:val="20"/>
                <w:lang w:eastAsia="ro-RO"/>
              </w:rPr>
            </w:pPr>
          </w:p>
        </w:tc>
        <w:tc>
          <w:tcPr>
            <w:tcW w:w="1105" w:type="pct"/>
            <w:vMerge/>
            <w:noWrap/>
            <w:vAlign w:val="center"/>
            <w:hideMark/>
          </w:tcPr>
          <w:p w14:paraId="1E68F79D" w14:textId="216F21AE" w:rsidR="003B6B3C" w:rsidRPr="00FA0C94" w:rsidRDefault="003B6B3C" w:rsidP="003B6B3C">
            <w:pPr>
              <w:jc w:val="center"/>
              <w:rPr>
                <w:sz w:val="20"/>
                <w:szCs w:val="20"/>
                <w:lang w:eastAsia="ro-RO"/>
              </w:rPr>
            </w:pPr>
          </w:p>
        </w:tc>
        <w:tc>
          <w:tcPr>
            <w:tcW w:w="1775" w:type="pct"/>
            <w:noWrap/>
            <w:vAlign w:val="center"/>
            <w:hideMark/>
          </w:tcPr>
          <w:p w14:paraId="3BEFF43D" w14:textId="77777777" w:rsidR="003B6B3C" w:rsidRPr="00FA0C94" w:rsidRDefault="003B6B3C" w:rsidP="003B6B3C">
            <w:pPr>
              <w:rPr>
                <w:sz w:val="20"/>
                <w:szCs w:val="20"/>
                <w:lang w:eastAsia="ro-RO"/>
              </w:rPr>
            </w:pPr>
            <w:r w:rsidRPr="00FA0C94">
              <w:rPr>
                <w:sz w:val="20"/>
                <w:szCs w:val="20"/>
                <w:lang w:eastAsia="ro-RO"/>
              </w:rPr>
              <w:t>Științe ale naturii</w:t>
            </w:r>
          </w:p>
        </w:tc>
        <w:tc>
          <w:tcPr>
            <w:tcW w:w="341" w:type="pct"/>
            <w:noWrap/>
            <w:vAlign w:val="center"/>
            <w:hideMark/>
          </w:tcPr>
          <w:p w14:paraId="7F799675"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68DFF96"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40930BB6"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64352672"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4192C9D9" w14:textId="77777777" w:rsidTr="003B6B3C">
        <w:trPr>
          <w:trHeight w:val="292"/>
        </w:trPr>
        <w:tc>
          <w:tcPr>
            <w:tcW w:w="756" w:type="pct"/>
            <w:vMerge/>
            <w:noWrap/>
            <w:vAlign w:val="center"/>
            <w:hideMark/>
          </w:tcPr>
          <w:p w14:paraId="30B1194E" w14:textId="3F6BD944" w:rsidR="003B6B3C" w:rsidRPr="00FA0C94" w:rsidRDefault="003B6B3C" w:rsidP="003B6B3C">
            <w:pPr>
              <w:jc w:val="center"/>
              <w:rPr>
                <w:sz w:val="20"/>
                <w:szCs w:val="20"/>
                <w:lang w:eastAsia="ro-RO"/>
              </w:rPr>
            </w:pPr>
          </w:p>
        </w:tc>
        <w:tc>
          <w:tcPr>
            <w:tcW w:w="1105" w:type="pct"/>
            <w:vMerge w:val="restart"/>
            <w:noWrap/>
            <w:vAlign w:val="center"/>
            <w:hideMark/>
          </w:tcPr>
          <w:p w14:paraId="152492AA" w14:textId="77777777" w:rsidR="003B6B3C" w:rsidRPr="00FA0C94" w:rsidRDefault="003B6B3C" w:rsidP="003B6B3C">
            <w:pPr>
              <w:jc w:val="center"/>
              <w:rPr>
                <w:sz w:val="20"/>
                <w:szCs w:val="20"/>
                <w:lang w:eastAsia="ro-RO"/>
              </w:rPr>
            </w:pPr>
            <w:r w:rsidRPr="00FA0C94">
              <w:rPr>
                <w:sz w:val="20"/>
                <w:szCs w:val="20"/>
                <w:lang w:eastAsia="ro-RO"/>
              </w:rPr>
              <w:t>Umanist</w:t>
            </w:r>
          </w:p>
        </w:tc>
        <w:tc>
          <w:tcPr>
            <w:tcW w:w="1775" w:type="pct"/>
            <w:noWrap/>
            <w:vAlign w:val="center"/>
            <w:hideMark/>
          </w:tcPr>
          <w:p w14:paraId="371B489E" w14:textId="77777777" w:rsidR="003B6B3C" w:rsidRPr="00FA0C94" w:rsidRDefault="003B6B3C" w:rsidP="003B6B3C">
            <w:pPr>
              <w:rPr>
                <w:sz w:val="20"/>
                <w:szCs w:val="20"/>
                <w:lang w:eastAsia="ro-RO"/>
              </w:rPr>
            </w:pPr>
            <w:r w:rsidRPr="00FA0C94">
              <w:rPr>
                <w:sz w:val="20"/>
                <w:szCs w:val="20"/>
                <w:lang w:eastAsia="ro-RO"/>
              </w:rPr>
              <w:t>Științe sociale</w:t>
            </w:r>
          </w:p>
        </w:tc>
        <w:tc>
          <w:tcPr>
            <w:tcW w:w="341" w:type="pct"/>
            <w:noWrap/>
            <w:vAlign w:val="center"/>
            <w:hideMark/>
          </w:tcPr>
          <w:p w14:paraId="2CBDAC77"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038E2D9F"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0078DED1"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3808B84A"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65F2F1FC" w14:textId="77777777" w:rsidTr="003B6B3C">
        <w:trPr>
          <w:trHeight w:val="300"/>
        </w:trPr>
        <w:tc>
          <w:tcPr>
            <w:tcW w:w="756" w:type="pct"/>
            <w:vMerge/>
            <w:noWrap/>
            <w:vAlign w:val="center"/>
            <w:hideMark/>
          </w:tcPr>
          <w:p w14:paraId="37565C67" w14:textId="277AEEDE" w:rsidR="003B6B3C" w:rsidRPr="00FA0C94" w:rsidRDefault="003B6B3C" w:rsidP="003B6B3C">
            <w:pPr>
              <w:jc w:val="center"/>
              <w:rPr>
                <w:sz w:val="20"/>
                <w:szCs w:val="20"/>
                <w:lang w:eastAsia="ro-RO"/>
              </w:rPr>
            </w:pPr>
          </w:p>
        </w:tc>
        <w:tc>
          <w:tcPr>
            <w:tcW w:w="1105" w:type="pct"/>
            <w:vMerge/>
            <w:noWrap/>
            <w:vAlign w:val="center"/>
            <w:hideMark/>
          </w:tcPr>
          <w:p w14:paraId="0723BBB4" w14:textId="322A7EAF" w:rsidR="003B6B3C" w:rsidRPr="00FA0C94" w:rsidRDefault="003B6B3C" w:rsidP="003B6B3C">
            <w:pPr>
              <w:jc w:val="center"/>
              <w:rPr>
                <w:sz w:val="20"/>
                <w:szCs w:val="20"/>
                <w:lang w:eastAsia="ro-RO"/>
              </w:rPr>
            </w:pPr>
          </w:p>
        </w:tc>
        <w:tc>
          <w:tcPr>
            <w:tcW w:w="1775" w:type="pct"/>
            <w:noWrap/>
            <w:vAlign w:val="center"/>
            <w:hideMark/>
          </w:tcPr>
          <w:p w14:paraId="00E4AB88" w14:textId="77777777" w:rsidR="003B6B3C" w:rsidRPr="00FA0C94" w:rsidRDefault="003B6B3C" w:rsidP="003B6B3C">
            <w:pPr>
              <w:rPr>
                <w:sz w:val="20"/>
                <w:szCs w:val="20"/>
                <w:lang w:eastAsia="ro-RO"/>
              </w:rPr>
            </w:pPr>
            <w:r w:rsidRPr="00FA0C94">
              <w:rPr>
                <w:sz w:val="20"/>
                <w:szCs w:val="20"/>
                <w:lang w:eastAsia="ro-RO"/>
              </w:rPr>
              <w:t>Filologie</w:t>
            </w:r>
          </w:p>
        </w:tc>
        <w:tc>
          <w:tcPr>
            <w:tcW w:w="341" w:type="pct"/>
            <w:noWrap/>
            <w:vAlign w:val="center"/>
            <w:hideMark/>
          </w:tcPr>
          <w:p w14:paraId="5F952A4A"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8844753"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05B13CC8"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B75816B" w14:textId="77777777" w:rsidR="003B6B3C" w:rsidRPr="00FA0C94" w:rsidRDefault="003B6B3C" w:rsidP="003B6B3C">
            <w:pPr>
              <w:jc w:val="center"/>
              <w:rPr>
                <w:sz w:val="20"/>
                <w:szCs w:val="20"/>
                <w:lang w:eastAsia="ro-RO"/>
              </w:rPr>
            </w:pPr>
            <w:r w:rsidRPr="00FA0C94">
              <w:rPr>
                <w:sz w:val="20"/>
                <w:szCs w:val="20"/>
                <w:lang w:eastAsia="ro-RO"/>
              </w:rPr>
              <w:t>0</w:t>
            </w:r>
          </w:p>
        </w:tc>
      </w:tr>
      <w:tr w:rsidR="003B6B3C" w:rsidRPr="00FA0C94" w14:paraId="7F5A9212" w14:textId="77777777" w:rsidTr="003B6B3C">
        <w:trPr>
          <w:trHeight w:val="300"/>
        </w:trPr>
        <w:tc>
          <w:tcPr>
            <w:tcW w:w="756" w:type="pct"/>
            <w:vMerge w:val="restart"/>
            <w:noWrap/>
            <w:vAlign w:val="center"/>
            <w:hideMark/>
          </w:tcPr>
          <w:p w14:paraId="343A442A" w14:textId="77777777" w:rsidR="003B6B3C" w:rsidRPr="00FA0C94" w:rsidRDefault="003B6B3C" w:rsidP="003B6B3C">
            <w:pPr>
              <w:jc w:val="center"/>
              <w:rPr>
                <w:sz w:val="20"/>
                <w:szCs w:val="20"/>
                <w:lang w:eastAsia="ro-RO"/>
              </w:rPr>
            </w:pPr>
            <w:r w:rsidRPr="00FA0C94">
              <w:rPr>
                <w:sz w:val="20"/>
                <w:szCs w:val="20"/>
                <w:lang w:eastAsia="ro-RO"/>
              </w:rPr>
              <w:t>Tehnologică</w:t>
            </w:r>
          </w:p>
        </w:tc>
        <w:tc>
          <w:tcPr>
            <w:tcW w:w="1105" w:type="pct"/>
            <w:noWrap/>
            <w:vAlign w:val="center"/>
            <w:hideMark/>
          </w:tcPr>
          <w:p w14:paraId="3A55BD26" w14:textId="77777777" w:rsidR="003B6B3C" w:rsidRPr="00FA0C94" w:rsidRDefault="003B6B3C" w:rsidP="003B6B3C">
            <w:pPr>
              <w:jc w:val="center"/>
              <w:rPr>
                <w:sz w:val="20"/>
                <w:szCs w:val="20"/>
                <w:lang w:eastAsia="ro-RO"/>
              </w:rPr>
            </w:pPr>
            <w:r w:rsidRPr="00FA0C94">
              <w:rPr>
                <w:sz w:val="20"/>
                <w:szCs w:val="20"/>
                <w:lang w:eastAsia="ro-RO"/>
              </w:rPr>
              <w:t>Tehnic</w:t>
            </w:r>
          </w:p>
        </w:tc>
        <w:tc>
          <w:tcPr>
            <w:tcW w:w="1775" w:type="pct"/>
            <w:noWrap/>
            <w:vAlign w:val="center"/>
            <w:hideMark/>
          </w:tcPr>
          <w:p w14:paraId="064635FF" w14:textId="77777777" w:rsidR="003B6B3C" w:rsidRPr="00FA0C94" w:rsidRDefault="003B6B3C" w:rsidP="003B6B3C">
            <w:pPr>
              <w:rPr>
                <w:sz w:val="20"/>
                <w:szCs w:val="20"/>
                <w:lang w:eastAsia="ro-RO"/>
              </w:rPr>
            </w:pPr>
            <w:r w:rsidRPr="00FA0C94">
              <w:rPr>
                <w:sz w:val="20"/>
                <w:szCs w:val="20"/>
                <w:lang w:eastAsia="ro-RO"/>
              </w:rPr>
              <w:t>Toate specializările/calificările profesionale</w:t>
            </w:r>
          </w:p>
        </w:tc>
        <w:tc>
          <w:tcPr>
            <w:tcW w:w="341" w:type="pct"/>
            <w:noWrap/>
            <w:vAlign w:val="center"/>
            <w:hideMark/>
          </w:tcPr>
          <w:p w14:paraId="4E922D49"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58E02575"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A09CE79"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5542D10C"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5992A8AF" w14:textId="77777777" w:rsidTr="003B6B3C">
        <w:trPr>
          <w:trHeight w:val="300"/>
        </w:trPr>
        <w:tc>
          <w:tcPr>
            <w:tcW w:w="756" w:type="pct"/>
            <w:vMerge/>
            <w:noWrap/>
            <w:vAlign w:val="center"/>
            <w:hideMark/>
          </w:tcPr>
          <w:p w14:paraId="50A2BF23" w14:textId="234AD6B8" w:rsidR="003B6B3C" w:rsidRPr="00FA0C94" w:rsidRDefault="003B6B3C" w:rsidP="003B6B3C">
            <w:pPr>
              <w:jc w:val="center"/>
              <w:rPr>
                <w:sz w:val="20"/>
                <w:szCs w:val="20"/>
                <w:lang w:eastAsia="ro-RO"/>
              </w:rPr>
            </w:pPr>
          </w:p>
        </w:tc>
        <w:tc>
          <w:tcPr>
            <w:tcW w:w="1105" w:type="pct"/>
            <w:noWrap/>
            <w:vAlign w:val="center"/>
            <w:hideMark/>
          </w:tcPr>
          <w:p w14:paraId="0E8B92A3" w14:textId="77777777" w:rsidR="003B6B3C" w:rsidRPr="00FA0C94" w:rsidRDefault="003B6B3C" w:rsidP="003B6B3C">
            <w:pPr>
              <w:jc w:val="center"/>
              <w:rPr>
                <w:sz w:val="20"/>
                <w:szCs w:val="20"/>
                <w:lang w:eastAsia="ro-RO"/>
              </w:rPr>
            </w:pPr>
            <w:r w:rsidRPr="00FA0C94">
              <w:rPr>
                <w:sz w:val="20"/>
                <w:szCs w:val="20"/>
                <w:lang w:eastAsia="ro-RO"/>
              </w:rPr>
              <w:t>Resurse naturale și protecția mediului</w:t>
            </w:r>
          </w:p>
        </w:tc>
        <w:tc>
          <w:tcPr>
            <w:tcW w:w="1775" w:type="pct"/>
            <w:noWrap/>
            <w:vAlign w:val="center"/>
            <w:hideMark/>
          </w:tcPr>
          <w:p w14:paraId="1B85206E" w14:textId="77777777" w:rsidR="003B6B3C" w:rsidRPr="00FA0C94" w:rsidRDefault="003B6B3C" w:rsidP="003B6B3C">
            <w:pPr>
              <w:rPr>
                <w:sz w:val="20"/>
                <w:szCs w:val="20"/>
                <w:lang w:eastAsia="ro-RO"/>
              </w:rPr>
            </w:pPr>
            <w:r w:rsidRPr="00FA0C94">
              <w:rPr>
                <w:sz w:val="20"/>
                <w:szCs w:val="20"/>
                <w:lang w:eastAsia="ro-RO"/>
              </w:rPr>
              <w:t>Toate specializările/calificările profesionale</w:t>
            </w:r>
          </w:p>
        </w:tc>
        <w:tc>
          <w:tcPr>
            <w:tcW w:w="341" w:type="pct"/>
            <w:noWrap/>
            <w:vAlign w:val="center"/>
            <w:hideMark/>
          </w:tcPr>
          <w:p w14:paraId="5D39CBB0"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0D4813D4"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12D6D48"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66C61EA6"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7B9EE883" w14:textId="77777777" w:rsidTr="003B6B3C">
        <w:trPr>
          <w:trHeight w:val="300"/>
        </w:trPr>
        <w:tc>
          <w:tcPr>
            <w:tcW w:w="756" w:type="pct"/>
            <w:vMerge/>
            <w:noWrap/>
            <w:vAlign w:val="center"/>
            <w:hideMark/>
          </w:tcPr>
          <w:p w14:paraId="6A5E2E5E" w14:textId="091C0DD7" w:rsidR="003B6B3C" w:rsidRPr="00FA0C94" w:rsidRDefault="003B6B3C" w:rsidP="003B6B3C">
            <w:pPr>
              <w:jc w:val="center"/>
              <w:rPr>
                <w:sz w:val="20"/>
                <w:szCs w:val="20"/>
                <w:lang w:eastAsia="ro-RO"/>
              </w:rPr>
            </w:pPr>
          </w:p>
        </w:tc>
        <w:tc>
          <w:tcPr>
            <w:tcW w:w="1105" w:type="pct"/>
            <w:noWrap/>
            <w:vAlign w:val="center"/>
            <w:hideMark/>
          </w:tcPr>
          <w:p w14:paraId="3A25C276" w14:textId="77777777" w:rsidR="003B6B3C" w:rsidRPr="00FA0C94" w:rsidRDefault="003B6B3C" w:rsidP="003B6B3C">
            <w:pPr>
              <w:jc w:val="center"/>
              <w:rPr>
                <w:sz w:val="20"/>
                <w:szCs w:val="20"/>
                <w:lang w:eastAsia="ro-RO"/>
              </w:rPr>
            </w:pPr>
            <w:r w:rsidRPr="00FA0C94">
              <w:rPr>
                <w:sz w:val="20"/>
                <w:szCs w:val="20"/>
                <w:lang w:eastAsia="ro-RO"/>
              </w:rPr>
              <w:t>Servicii</w:t>
            </w:r>
          </w:p>
        </w:tc>
        <w:tc>
          <w:tcPr>
            <w:tcW w:w="1775" w:type="pct"/>
            <w:noWrap/>
            <w:vAlign w:val="center"/>
            <w:hideMark/>
          </w:tcPr>
          <w:p w14:paraId="55A1FB70" w14:textId="77777777" w:rsidR="003B6B3C" w:rsidRPr="00FA0C94" w:rsidRDefault="003B6B3C" w:rsidP="003B6B3C">
            <w:pPr>
              <w:rPr>
                <w:sz w:val="20"/>
                <w:szCs w:val="20"/>
                <w:lang w:eastAsia="ro-RO"/>
              </w:rPr>
            </w:pPr>
            <w:r w:rsidRPr="00FA0C94">
              <w:rPr>
                <w:sz w:val="20"/>
                <w:szCs w:val="20"/>
                <w:lang w:eastAsia="ro-RO"/>
              </w:rPr>
              <w:t>Toate specializările/calificările profesionale</w:t>
            </w:r>
          </w:p>
        </w:tc>
        <w:tc>
          <w:tcPr>
            <w:tcW w:w="341" w:type="pct"/>
            <w:noWrap/>
            <w:vAlign w:val="center"/>
            <w:hideMark/>
          </w:tcPr>
          <w:p w14:paraId="4237D7F8"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3652E97"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0BB94D78"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5EDDBCC0"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087748D6" w14:textId="77777777" w:rsidTr="003B6B3C">
        <w:trPr>
          <w:trHeight w:val="292"/>
        </w:trPr>
        <w:tc>
          <w:tcPr>
            <w:tcW w:w="756" w:type="pct"/>
            <w:vMerge w:val="restart"/>
            <w:noWrap/>
            <w:vAlign w:val="center"/>
            <w:hideMark/>
          </w:tcPr>
          <w:p w14:paraId="1A4AF6D5" w14:textId="77777777" w:rsidR="003B6B3C" w:rsidRPr="00FA0C94" w:rsidRDefault="003B6B3C" w:rsidP="003B6B3C">
            <w:pPr>
              <w:jc w:val="center"/>
              <w:rPr>
                <w:sz w:val="20"/>
                <w:szCs w:val="20"/>
                <w:lang w:eastAsia="ro-RO"/>
              </w:rPr>
            </w:pPr>
            <w:r w:rsidRPr="00FA0C94">
              <w:rPr>
                <w:sz w:val="20"/>
                <w:szCs w:val="20"/>
                <w:lang w:eastAsia="ro-RO"/>
              </w:rPr>
              <w:t>Vocațională</w:t>
            </w:r>
          </w:p>
        </w:tc>
        <w:tc>
          <w:tcPr>
            <w:tcW w:w="1105" w:type="pct"/>
            <w:noWrap/>
            <w:vAlign w:val="center"/>
            <w:hideMark/>
          </w:tcPr>
          <w:p w14:paraId="48EC0BFD" w14:textId="77777777" w:rsidR="003B6B3C" w:rsidRPr="00FA0C94" w:rsidRDefault="003B6B3C" w:rsidP="003B6B3C">
            <w:pPr>
              <w:jc w:val="center"/>
              <w:rPr>
                <w:sz w:val="20"/>
                <w:szCs w:val="20"/>
                <w:lang w:eastAsia="ro-RO"/>
              </w:rPr>
            </w:pPr>
            <w:r w:rsidRPr="00FA0C94">
              <w:rPr>
                <w:sz w:val="20"/>
                <w:szCs w:val="20"/>
                <w:lang w:eastAsia="ro-RO"/>
              </w:rPr>
              <w:t>Artistic</w:t>
            </w:r>
          </w:p>
        </w:tc>
        <w:tc>
          <w:tcPr>
            <w:tcW w:w="1775" w:type="pct"/>
            <w:noWrap/>
            <w:vAlign w:val="center"/>
            <w:hideMark/>
          </w:tcPr>
          <w:p w14:paraId="2294D51C" w14:textId="77777777" w:rsidR="003B6B3C" w:rsidRPr="00FA0C94" w:rsidRDefault="003B6B3C" w:rsidP="003B6B3C">
            <w:pPr>
              <w:rPr>
                <w:sz w:val="20"/>
                <w:szCs w:val="20"/>
                <w:lang w:eastAsia="ro-RO"/>
              </w:rPr>
            </w:pPr>
            <w:r w:rsidRPr="00FA0C94">
              <w:rPr>
                <w:sz w:val="20"/>
                <w:szCs w:val="20"/>
                <w:lang w:eastAsia="ro-RO"/>
              </w:rPr>
              <w:t>Muzică</w:t>
            </w:r>
          </w:p>
        </w:tc>
        <w:tc>
          <w:tcPr>
            <w:tcW w:w="341" w:type="pct"/>
            <w:noWrap/>
            <w:vAlign w:val="center"/>
            <w:hideMark/>
          </w:tcPr>
          <w:p w14:paraId="42C051BD"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70C8CD6"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783CB07"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4610AADA"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7A20E46F" w14:textId="77777777" w:rsidTr="003B6B3C">
        <w:trPr>
          <w:trHeight w:val="292"/>
        </w:trPr>
        <w:tc>
          <w:tcPr>
            <w:tcW w:w="756" w:type="pct"/>
            <w:vMerge/>
            <w:noWrap/>
            <w:vAlign w:val="center"/>
            <w:hideMark/>
          </w:tcPr>
          <w:p w14:paraId="6331F2D6" w14:textId="144B9F0A" w:rsidR="003B6B3C" w:rsidRPr="00FA0C94" w:rsidRDefault="003B6B3C" w:rsidP="003B6B3C">
            <w:pPr>
              <w:jc w:val="center"/>
              <w:rPr>
                <w:sz w:val="20"/>
                <w:szCs w:val="20"/>
                <w:lang w:eastAsia="ro-RO"/>
              </w:rPr>
            </w:pPr>
          </w:p>
        </w:tc>
        <w:tc>
          <w:tcPr>
            <w:tcW w:w="1105" w:type="pct"/>
            <w:vMerge w:val="restart"/>
            <w:noWrap/>
            <w:vAlign w:val="center"/>
            <w:hideMark/>
          </w:tcPr>
          <w:p w14:paraId="0E3DE552" w14:textId="3421035F" w:rsidR="003B6B3C" w:rsidRPr="00FA0C94" w:rsidRDefault="003B6B3C" w:rsidP="003B6B3C">
            <w:pPr>
              <w:jc w:val="center"/>
              <w:rPr>
                <w:sz w:val="20"/>
                <w:szCs w:val="20"/>
                <w:lang w:eastAsia="ro-RO"/>
              </w:rPr>
            </w:pPr>
          </w:p>
        </w:tc>
        <w:tc>
          <w:tcPr>
            <w:tcW w:w="1775" w:type="pct"/>
            <w:noWrap/>
            <w:vAlign w:val="center"/>
            <w:hideMark/>
          </w:tcPr>
          <w:p w14:paraId="77932BA4" w14:textId="77777777" w:rsidR="003B6B3C" w:rsidRPr="00FA0C94" w:rsidRDefault="003B6B3C" w:rsidP="003B6B3C">
            <w:pPr>
              <w:rPr>
                <w:sz w:val="20"/>
                <w:szCs w:val="20"/>
                <w:lang w:eastAsia="ro-RO"/>
              </w:rPr>
            </w:pPr>
            <w:r w:rsidRPr="00FA0C94">
              <w:rPr>
                <w:sz w:val="20"/>
                <w:szCs w:val="20"/>
                <w:lang w:eastAsia="ro-RO"/>
              </w:rPr>
              <w:t>Conservare-restaurare bunuri culturale</w:t>
            </w:r>
          </w:p>
        </w:tc>
        <w:tc>
          <w:tcPr>
            <w:tcW w:w="341" w:type="pct"/>
            <w:noWrap/>
            <w:vAlign w:val="center"/>
            <w:hideMark/>
          </w:tcPr>
          <w:p w14:paraId="63FE1CE6"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6A79A2B"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06D22BB5"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47E36830"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41D3BBCE" w14:textId="77777777" w:rsidTr="003B6B3C">
        <w:trPr>
          <w:trHeight w:val="292"/>
        </w:trPr>
        <w:tc>
          <w:tcPr>
            <w:tcW w:w="756" w:type="pct"/>
            <w:vMerge/>
            <w:noWrap/>
            <w:vAlign w:val="center"/>
            <w:hideMark/>
          </w:tcPr>
          <w:p w14:paraId="5AE85ED9" w14:textId="718B2AF3" w:rsidR="003B6B3C" w:rsidRPr="00FA0C94" w:rsidRDefault="003B6B3C" w:rsidP="003B6B3C">
            <w:pPr>
              <w:jc w:val="center"/>
              <w:rPr>
                <w:sz w:val="20"/>
                <w:szCs w:val="20"/>
                <w:lang w:eastAsia="ro-RO"/>
              </w:rPr>
            </w:pPr>
          </w:p>
        </w:tc>
        <w:tc>
          <w:tcPr>
            <w:tcW w:w="1105" w:type="pct"/>
            <w:vMerge/>
            <w:noWrap/>
            <w:vAlign w:val="center"/>
            <w:hideMark/>
          </w:tcPr>
          <w:p w14:paraId="1F8B93A9" w14:textId="02FBAB82" w:rsidR="003B6B3C" w:rsidRPr="00FA0C94" w:rsidRDefault="003B6B3C" w:rsidP="003B6B3C">
            <w:pPr>
              <w:jc w:val="center"/>
              <w:rPr>
                <w:sz w:val="20"/>
                <w:szCs w:val="20"/>
                <w:lang w:eastAsia="ro-RO"/>
              </w:rPr>
            </w:pPr>
          </w:p>
        </w:tc>
        <w:tc>
          <w:tcPr>
            <w:tcW w:w="1775" w:type="pct"/>
            <w:noWrap/>
            <w:vAlign w:val="center"/>
            <w:hideMark/>
          </w:tcPr>
          <w:p w14:paraId="48AC724A" w14:textId="77777777" w:rsidR="003B6B3C" w:rsidRPr="00FA0C94" w:rsidRDefault="003B6B3C" w:rsidP="003B6B3C">
            <w:pPr>
              <w:rPr>
                <w:sz w:val="20"/>
                <w:szCs w:val="20"/>
                <w:lang w:eastAsia="ro-RO"/>
              </w:rPr>
            </w:pPr>
            <w:r w:rsidRPr="00FA0C94">
              <w:rPr>
                <w:sz w:val="20"/>
                <w:szCs w:val="20"/>
                <w:lang w:eastAsia="ro-RO"/>
              </w:rPr>
              <w:t>Arte plastice, arte decorative și design</w:t>
            </w:r>
          </w:p>
        </w:tc>
        <w:tc>
          <w:tcPr>
            <w:tcW w:w="341" w:type="pct"/>
            <w:noWrap/>
            <w:vAlign w:val="center"/>
            <w:hideMark/>
          </w:tcPr>
          <w:p w14:paraId="1AA96E0E"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0EFDB83"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3CC514EB"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6FC05D99"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672B0C43" w14:textId="77777777" w:rsidTr="003B6B3C">
        <w:trPr>
          <w:trHeight w:val="292"/>
        </w:trPr>
        <w:tc>
          <w:tcPr>
            <w:tcW w:w="756" w:type="pct"/>
            <w:vMerge/>
            <w:noWrap/>
            <w:vAlign w:val="center"/>
            <w:hideMark/>
          </w:tcPr>
          <w:p w14:paraId="72D8A62C" w14:textId="0BEF5E31" w:rsidR="003B6B3C" w:rsidRPr="00FA0C94" w:rsidRDefault="003B6B3C" w:rsidP="003B6B3C">
            <w:pPr>
              <w:jc w:val="center"/>
              <w:rPr>
                <w:sz w:val="20"/>
                <w:szCs w:val="20"/>
                <w:lang w:eastAsia="ro-RO"/>
              </w:rPr>
            </w:pPr>
          </w:p>
        </w:tc>
        <w:tc>
          <w:tcPr>
            <w:tcW w:w="1105" w:type="pct"/>
            <w:vMerge/>
            <w:noWrap/>
            <w:vAlign w:val="center"/>
            <w:hideMark/>
          </w:tcPr>
          <w:p w14:paraId="7C6BEC1A" w14:textId="78FD279C" w:rsidR="003B6B3C" w:rsidRPr="00FA0C94" w:rsidRDefault="003B6B3C" w:rsidP="003B6B3C">
            <w:pPr>
              <w:jc w:val="center"/>
              <w:rPr>
                <w:sz w:val="20"/>
                <w:szCs w:val="20"/>
                <w:lang w:eastAsia="ro-RO"/>
              </w:rPr>
            </w:pPr>
          </w:p>
        </w:tc>
        <w:tc>
          <w:tcPr>
            <w:tcW w:w="1775" w:type="pct"/>
            <w:noWrap/>
            <w:vAlign w:val="center"/>
            <w:hideMark/>
          </w:tcPr>
          <w:p w14:paraId="534DA70B" w14:textId="77777777" w:rsidR="003B6B3C" w:rsidRPr="00FA0C94" w:rsidRDefault="003B6B3C" w:rsidP="003B6B3C">
            <w:pPr>
              <w:rPr>
                <w:sz w:val="20"/>
                <w:szCs w:val="20"/>
                <w:lang w:eastAsia="ro-RO"/>
              </w:rPr>
            </w:pPr>
            <w:r w:rsidRPr="00FA0C94">
              <w:rPr>
                <w:sz w:val="20"/>
                <w:szCs w:val="20"/>
                <w:lang w:eastAsia="ro-RO"/>
              </w:rPr>
              <w:t>Arhitectură, arte ambientale și design</w:t>
            </w:r>
          </w:p>
        </w:tc>
        <w:tc>
          <w:tcPr>
            <w:tcW w:w="341" w:type="pct"/>
            <w:noWrap/>
            <w:vAlign w:val="center"/>
            <w:hideMark/>
          </w:tcPr>
          <w:p w14:paraId="650E25BD"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ACAAE35"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C8A0C54"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5707F411"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3B3CA1C8" w14:textId="77777777" w:rsidTr="003B6B3C">
        <w:trPr>
          <w:trHeight w:val="292"/>
        </w:trPr>
        <w:tc>
          <w:tcPr>
            <w:tcW w:w="756" w:type="pct"/>
            <w:vMerge/>
            <w:noWrap/>
            <w:vAlign w:val="center"/>
            <w:hideMark/>
          </w:tcPr>
          <w:p w14:paraId="7982493E" w14:textId="22E58A25" w:rsidR="003B6B3C" w:rsidRPr="00FA0C94" w:rsidRDefault="003B6B3C" w:rsidP="003B6B3C">
            <w:pPr>
              <w:jc w:val="center"/>
              <w:rPr>
                <w:sz w:val="20"/>
                <w:szCs w:val="20"/>
                <w:lang w:eastAsia="ro-RO"/>
              </w:rPr>
            </w:pPr>
          </w:p>
        </w:tc>
        <w:tc>
          <w:tcPr>
            <w:tcW w:w="1105" w:type="pct"/>
            <w:vMerge/>
            <w:noWrap/>
            <w:vAlign w:val="center"/>
            <w:hideMark/>
          </w:tcPr>
          <w:p w14:paraId="1640C6BD" w14:textId="5AF16928" w:rsidR="003B6B3C" w:rsidRPr="00FA0C94" w:rsidRDefault="003B6B3C" w:rsidP="003B6B3C">
            <w:pPr>
              <w:jc w:val="center"/>
              <w:rPr>
                <w:sz w:val="20"/>
                <w:szCs w:val="20"/>
                <w:lang w:eastAsia="ro-RO"/>
              </w:rPr>
            </w:pPr>
          </w:p>
        </w:tc>
        <w:tc>
          <w:tcPr>
            <w:tcW w:w="1775" w:type="pct"/>
            <w:noWrap/>
            <w:vAlign w:val="center"/>
            <w:hideMark/>
          </w:tcPr>
          <w:p w14:paraId="4E14F3D6" w14:textId="77777777" w:rsidR="003B6B3C" w:rsidRPr="00FA0C94" w:rsidRDefault="003B6B3C" w:rsidP="003B6B3C">
            <w:pPr>
              <w:rPr>
                <w:sz w:val="20"/>
                <w:szCs w:val="20"/>
                <w:lang w:eastAsia="ro-RO"/>
              </w:rPr>
            </w:pPr>
            <w:r w:rsidRPr="00FA0C94">
              <w:rPr>
                <w:sz w:val="20"/>
                <w:szCs w:val="20"/>
                <w:lang w:eastAsia="ro-RO"/>
              </w:rPr>
              <w:t>Coregrafie</w:t>
            </w:r>
          </w:p>
        </w:tc>
        <w:tc>
          <w:tcPr>
            <w:tcW w:w="341" w:type="pct"/>
            <w:noWrap/>
            <w:vAlign w:val="center"/>
            <w:hideMark/>
          </w:tcPr>
          <w:p w14:paraId="14DB34E8"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38896BCB"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0AF9177A"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110656CD"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081C76B2" w14:textId="77777777" w:rsidTr="003B6B3C">
        <w:trPr>
          <w:trHeight w:val="300"/>
        </w:trPr>
        <w:tc>
          <w:tcPr>
            <w:tcW w:w="756" w:type="pct"/>
            <w:vMerge/>
            <w:noWrap/>
            <w:vAlign w:val="center"/>
            <w:hideMark/>
          </w:tcPr>
          <w:p w14:paraId="20174F0C" w14:textId="7A5C1AD0" w:rsidR="003B6B3C" w:rsidRPr="00FA0C94" w:rsidRDefault="003B6B3C" w:rsidP="003B6B3C">
            <w:pPr>
              <w:jc w:val="center"/>
              <w:rPr>
                <w:sz w:val="20"/>
                <w:szCs w:val="20"/>
                <w:lang w:eastAsia="ro-RO"/>
              </w:rPr>
            </w:pPr>
          </w:p>
        </w:tc>
        <w:tc>
          <w:tcPr>
            <w:tcW w:w="1105" w:type="pct"/>
            <w:vMerge/>
            <w:noWrap/>
            <w:vAlign w:val="center"/>
            <w:hideMark/>
          </w:tcPr>
          <w:p w14:paraId="39404D96" w14:textId="3A7DA45C" w:rsidR="003B6B3C" w:rsidRPr="00FA0C94" w:rsidRDefault="003B6B3C" w:rsidP="003B6B3C">
            <w:pPr>
              <w:jc w:val="center"/>
              <w:rPr>
                <w:sz w:val="20"/>
                <w:szCs w:val="20"/>
                <w:lang w:eastAsia="ro-RO"/>
              </w:rPr>
            </w:pPr>
          </w:p>
        </w:tc>
        <w:tc>
          <w:tcPr>
            <w:tcW w:w="1775" w:type="pct"/>
            <w:noWrap/>
            <w:vAlign w:val="center"/>
            <w:hideMark/>
          </w:tcPr>
          <w:p w14:paraId="72ED3F3E" w14:textId="77777777" w:rsidR="003B6B3C" w:rsidRPr="00FA0C94" w:rsidRDefault="003B6B3C" w:rsidP="003B6B3C">
            <w:pPr>
              <w:rPr>
                <w:sz w:val="20"/>
                <w:szCs w:val="20"/>
                <w:lang w:eastAsia="ro-RO"/>
              </w:rPr>
            </w:pPr>
            <w:r w:rsidRPr="00FA0C94">
              <w:rPr>
                <w:sz w:val="20"/>
                <w:szCs w:val="20"/>
                <w:lang w:eastAsia="ro-RO"/>
              </w:rPr>
              <w:t>Arta actorului</w:t>
            </w:r>
          </w:p>
        </w:tc>
        <w:tc>
          <w:tcPr>
            <w:tcW w:w="341" w:type="pct"/>
            <w:noWrap/>
            <w:vAlign w:val="center"/>
            <w:hideMark/>
          </w:tcPr>
          <w:p w14:paraId="12A01FDE"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3F34252"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4643FFE2"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39BC4E81" w14:textId="77777777" w:rsidR="003B6B3C" w:rsidRPr="00FA0C94" w:rsidRDefault="003B6B3C" w:rsidP="003B6B3C">
            <w:pPr>
              <w:jc w:val="center"/>
              <w:rPr>
                <w:sz w:val="20"/>
                <w:szCs w:val="20"/>
                <w:lang w:eastAsia="ro-RO"/>
              </w:rPr>
            </w:pPr>
            <w:r w:rsidRPr="00FA0C94">
              <w:rPr>
                <w:sz w:val="20"/>
                <w:szCs w:val="20"/>
                <w:lang w:eastAsia="ro-RO"/>
              </w:rPr>
              <w:t>0</w:t>
            </w:r>
          </w:p>
        </w:tc>
      </w:tr>
      <w:tr w:rsidR="003B6B3C" w:rsidRPr="00FA0C94" w14:paraId="3AAA3D6F" w14:textId="77777777" w:rsidTr="003B6B3C">
        <w:trPr>
          <w:trHeight w:val="300"/>
        </w:trPr>
        <w:tc>
          <w:tcPr>
            <w:tcW w:w="756" w:type="pct"/>
            <w:vMerge/>
            <w:noWrap/>
            <w:vAlign w:val="center"/>
            <w:hideMark/>
          </w:tcPr>
          <w:p w14:paraId="4702373F" w14:textId="01172E93" w:rsidR="003B6B3C" w:rsidRPr="00FA0C94" w:rsidRDefault="003B6B3C" w:rsidP="003B6B3C">
            <w:pPr>
              <w:jc w:val="center"/>
              <w:rPr>
                <w:sz w:val="20"/>
                <w:szCs w:val="20"/>
                <w:lang w:eastAsia="ro-RO"/>
              </w:rPr>
            </w:pPr>
          </w:p>
        </w:tc>
        <w:tc>
          <w:tcPr>
            <w:tcW w:w="1105" w:type="pct"/>
            <w:noWrap/>
            <w:vAlign w:val="center"/>
            <w:hideMark/>
          </w:tcPr>
          <w:p w14:paraId="3B0E48A6" w14:textId="77777777" w:rsidR="003B6B3C" w:rsidRPr="00FA0C94" w:rsidRDefault="003B6B3C" w:rsidP="003B6B3C">
            <w:pPr>
              <w:jc w:val="center"/>
              <w:rPr>
                <w:sz w:val="20"/>
                <w:szCs w:val="20"/>
                <w:lang w:eastAsia="ro-RO"/>
              </w:rPr>
            </w:pPr>
            <w:r w:rsidRPr="00FA0C94">
              <w:rPr>
                <w:sz w:val="20"/>
                <w:szCs w:val="20"/>
                <w:lang w:eastAsia="ro-RO"/>
              </w:rPr>
              <w:t>Militar</w:t>
            </w:r>
          </w:p>
        </w:tc>
        <w:tc>
          <w:tcPr>
            <w:tcW w:w="1775" w:type="pct"/>
            <w:noWrap/>
            <w:vAlign w:val="center"/>
            <w:hideMark/>
          </w:tcPr>
          <w:p w14:paraId="2E05DD33" w14:textId="77777777" w:rsidR="003B6B3C" w:rsidRPr="00FA0C94" w:rsidRDefault="003B6B3C" w:rsidP="003B6B3C">
            <w:pPr>
              <w:rPr>
                <w:sz w:val="20"/>
                <w:szCs w:val="20"/>
                <w:lang w:eastAsia="ro-RO"/>
              </w:rPr>
            </w:pPr>
            <w:r w:rsidRPr="00FA0C94">
              <w:rPr>
                <w:sz w:val="20"/>
                <w:szCs w:val="20"/>
                <w:lang w:eastAsia="ro-RO"/>
              </w:rPr>
              <w:t>Matematică-informatică militară</w:t>
            </w:r>
          </w:p>
        </w:tc>
        <w:tc>
          <w:tcPr>
            <w:tcW w:w="341" w:type="pct"/>
            <w:noWrap/>
            <w:vAlign w:val="center"/>
            <w:hideMark/>
          </w:tcPr>
          <w:p w14:paraId="3203BFA6"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54DC2024"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1BC9E0F1"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AC74B8E" w14:textId="77777777" w:rsidR="003B6B3C" w:rsidRPr="00FA0C94" w:rsidRDefault="003B6B3C" w:rsidP="003B6B3C">
            <w:pPr>
              <w:jc w:val="center"/>
              <w:rPr>
                <w:sz w:val="20"/>
                <w:szCs w:val="20"/>
                <w:lang w:eastAsia="ro-RO"/>
              </w:rPr>
            </w:pPr>
            <w:r w:rsidRPr="00FA0C94">
              <w:rPr>
                <w:sz w:val="20"/>
                <w:szCs w:val="20"/>
                <w:lang w:eastAsia="ro-RO"/>
              </w:rPr>
              <w:t>0</w:t>
            </w:r>
          </w:p>
        </w:tc>
      </w:tr>
      <w:tr w:rsidR="003B6B3C" w:rsidRPr="00FA0C94" w14:paraId="4A447726" w14:textId="77777777" w:rsidTr="003B6B3C">
        <w:trPr>
          <w:trHeight w:val="292"/>
        </w:trPr>
        <w:tc>
          <w:tcPr>
            <w:tcW w:w="756" w:type="pct"/>
            <w:vMerge/>
            <w:noWrap/>
            <w:vAlign w:val="center"/>
            <w:hideMark/>
          </w:tcPr>
          <w:p w14:paraId="3003A3AA" w14:textId="71626603" w:rsidR="003B6B3C" w:rsidRPr="00FA0C94" w:rsidRDefault="003B6B3C" w:rsidP="003B6B3C">
            <w:pPr>
              <w:jc w:val="center"/>
              <w:rPr>
                <w:sz w:val="20"/>
                <w:szCs w:val="20"/>
                <w:lang w:eastAsia="ro-RO"/>
              </w:rPr>
            </w:pPr>
          </w:p>
        </w:tc>
        <w:tc>
          <w:tcPr>
            <w:tcW w:w="1105" w:type="pct"/>
            <w:vMerge w:val="restart"/>
            <w:noWrap/>
            <w:vAlign w:val="center"/>
            <w:hideMark/>
          </w:tcPr>
          <w:p w14:paraId="16AA9085" w14:textId="77777777" w:rsidR="003B6B3C" w:rsidRPr="00FA0C94" w:rsidRDefault="003B6B3C" w:rsidP="003B6B3C">
            <w:pPr>
              <w:jc w:val="center"/>
              <w:rPr>
                <w:sz w:val="20"/>
                <w:szCs w:val="20"/>
                <w:lang w:eastAsia="ro-RO"/>
              </w:rPr>
            </w:pPr>
            <w:r w:rsidRPr="00FA0C94">
              <w:rPr>
                <w:sz w:val="20"/>
                <w:szCs w:val="20"/>
                <w:lang w:eastAsia="ro-RO"/>
              </w:rPr>
              <w:t>Pedagogic</w:t>
            </w:r>
          </w:p>
        </w:tc>
        <w:tc>
          <w:tcPr>
            <w:tcW w:w="1775" w:type="pct"/>
            <w:noWrap/>
            <w:vAlign w:val="center"/>
            <w:hideMark/>
          </w:tcPr>
          <w:p w14:paraId="2876F70A" w14:textId="77777777" w:rsidR="003B6B3C" w:rsidRPr="00FA0C94" w:rsidRDefault="003B6B3C" w:rsidP="003B6B3C">
            <w:pPr>
              <w:rPr>
                <w:sz w:val="20"/>
                <w:szCs w:val="20"/>
                <w:lang w:eastAsia="ro-RO"/>
              </w:rPr>
            </w:pPr>
            <w:r w:rsidRPr="00FA0C94">
              <w:rPr>
                <w:sz w:val="20"/>
                <w:szCs w:val="20"/>
                <w:lang w:eastAsia="ro-RO"/>
              </w:rPr>
              <w:t>Pedagogia educației timpurii</w:t>
            </w:r>
          </w:p>
        </w:tc>
        <w:tc>
          <w:tcPr>
            <w:tcW w:w="341" w:type="pct"/>
            <w:noWrap/>
            <w:vAlign w:val="center"/>
            <w:hideMark/>
          </w:tcPr>
          <w:p w14:paraId="76F0015D"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071389B"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42957AD5"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7B962633"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1F7003F3" w14:textId="77777777" w:rsidTr="003B6B3C">
        <w:trPr>
          <w:trHeight w:val="292"/>
        </w:trPr>
        <w:tc>
          <w:tcPr>
            <w:tcW w:w="756" w:type="pct"/>
            <w:vMerge/>
            <w:noWrap/>
            <w:vAlign w:val="center"/>
            <w:hideMark/>
          </w:tcPr>
          <w:p w14:paraId="3F9BDA20" w14:textId="66F06C29" w:rsidR="003B6B3C" w:rsidRPr="00FA0C94" w:rsidRDefault="003B6B3C" w:rsidP="003B6B3C">
            <w:pPr>
              <w:jc w:val="center"/>
              <w:rPr>
                <w:sz w:val="20"/>
                <w:szCs w:val="20"/>
                <w:lang w:eastAsia="ro-RO"/>
              </w:rPr>
            </w:pPr>
          </w:p>
        </w:tc>
        <w:tc>
          <w:tcPr>
            <w:tcW w:w="1105" w:type="pct"/>
            <w:vMerge/>
            <w:noWrap/>
            <w:vAlign w:val="center"/>
            <w:hideMark/>
          </w:tcPr>
          <w:p w14:paraId="590BD7FD" w14:textId="30725C01" w:rsidR="003B6B3C" w:rsidRPr="00FA0C94" w:rsidRDefault="003B6B3C" w:rsidP="003B6B3C">
            <w:pPr>
              <w:jc w:val="center"/>
              <w:rPr>
                <w:sz w:val="20"/>
                <w:szCs w:val="20"/>
                <w:lang w:eastAsia="ro-RO"/>
              </w:rPr>
            </w:pPr>
          </w:p>
        </w:tc>
        <w:tc>
          <w:tcPr>
            <w:tcW w:w="1775" w:type="pct"/>
            <w:noWrap/>
            <w:vAlign w:val="center"/>
            <w:hideMark/>
          </w:tcPr>
          <w:p w14:paraId="3669E0FF" w14:textId="77777777" w:rsidR="003B6B3C" w:rsidRPr="00FA0C94" w:rsidRDefault="003B6B3C" w:rsidP="003B6B3C">
            <w:pPr>
              <w:rPr>
                <w:sz w:val="20"/>
                <w:szCs w:val="20"/>
                <w:lang w:eastAsia="ro-RO"/>
              </w:rPr>
            </w:pPr>
            <w:r w:rsidRPr="00FA0C94">
              <w:rPr>
                <w:sz w:val="20"/>
                <w:szCs w:val="20"/>
                <w:lang w:eastAsia="ro-RO"/>
              </w:rPr>
              <w:t>Pedagogia învățământului primar</w:t>
            </w:r>
          </w:p>
        </w:tc>
        <w:tc>
          <w:tcPr>
            <w:tcW w:w="341" w:type="pct"/>
            <w:noWrap/>
            <w:vAlign w:val="center"/>
            <w:hideMark/>
          </w:tcPr>
          <w:p w14:paraId="16E9798B"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15E89A59"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1775FB70"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243BA685" w14:textId="77777777" w:rsidR="003B6B3C" w:rsidRPr="00FA0C94" w:rsidRDefault="003B6B3C" w:rsidP="003B6B3C">
            <w:pPr>
              <w:jc w:val="center"/>
              <w:rPr>
                <w:sz w:val="20"/>
                <w:szCs w:val="20"/>
                <w:lang w:eastAsia="ro-RO"/>
              </w:rPr>
            </w:pPr>
            <w:r w:rsidRPr="00FA0C94">
              <w:rPr>
                <w:sz w:val="20"/>
                <w:szCs w:val="20"/>
                <w:lang w:eastAsia="ro-RO"/>
              </w:rPr>
              <w:t>-3</w:t>
            </w:r>
          </w:p>
        </w:tc>
      </w:tr>
      <w:tr w:rsidR="003B6B3C" w:rsidRPr="00FA0C94" w14:paraId="31F452B6" w14:textId="77777777" w:rsidTr="003B6B3C">
        <w:trPr>
          <w:trHeight w:val="292"/>
        </w:trPr>
        <w:tc>
          <w:tcPr>
            <w:tcW w:w="756" w:type="pct"/>
            <w:vMerge/>
            <w:noWrap/>
            <w:vAlign w:val="center"/>
            <w:hideMark/>
          </w:tcPr>
          <w:p w14:paraId="27544DA2" w14:textId="2E40568D" w:rsidR="003B6B3C" w:rsidRPr="00FA0C94" w:rsidRDefault="003B6B3C" w:rsidP="003B6B3C">
            <w:pPr>
              <w:jc w:val="center"/>
              <w:rPr>
                <w:sz w:val="20"/>
                <w:szCs w:val="20"/>
                <w:lang w:eastAsia="ro-RO"/>
              </w:rPr>
            </w:pPr>
          </w:p>
        </w:tc>
        <w:tc>
          <w:tcPr>
            <w:tcW w:w="1105" w:type="pct"/>
            <w:vMerge/>
            <w:noWrap/>
            <w:vAlign w:val="center"/>
            <w:hideMark/>
          </w:tcPr>
          <w:p w14:paraId="6832F6D9" w14:textId="75451DEF" w:rsidR="003B6B3C" w:rsidRPr="00FA0C94" w:rsidRDefault="003B6B3C" w:rsidP="003B6B3C">
            <w:pPr>
              <w:jc w:val="center"/>
              <w:rPr>
                <w:sz w:val="20"/>
                <w:szCs w:val="20"/>
                <w:lang w:eastAsia="ro-RO"/>
              </w:rPr>
            </w:pPr>
          </w:p>
        </w:tc>
        <w:tc>
          <w:tcPr>
            <w:tcW w:w="1775" w:type="pct"/>
            <w:noWrap/>
            <w:vAlign w:val="center"/>
            <w:hideMark/>
          </w:tcPr>
          <w:p w14:paraId="0634C91D" w14:textId="77777777" w:rsidR="003B6B3C" w:rsidRPr="00FA0C94" w:rsidRDefault="003B6B3C" w:rsidP="003B6B3C">
            <w:pPr>
              <w:rPr>
                <w:sz w:val="20"/>
                <w:szCs w:val="20"/>
                <w:lang w:eastAsia="ro-RO"/>
              </w:rPr>
            </w:pPr>
            <w:r w:rsidRPr="00FA0C94">
              <w:rPr>
                <w:sz w:val="20"/>
                <w:szCs w:val="20"/>
                <w:lang w:eastAsia="ro-RO"/>
              </w:rPr>
              <w:t xml:space="preserve">Pedagogia educației </w:t>
            </w:r>
            <w:proofErr w:type="spellStart"/>
            <w:r w:rsidRPr="00FA0C94">
              <w:rPr>
                <w:sz w:val="20"/>
                <w:szCs w:val="20"/>
                <w:lang w:eastAsia="ro-RO"/>
              </w:rPr>
              <w:t>nonformale</w:t>
            </w:r>
            <w:proofErr w:type="spellEnd"/>
          </w:p>
        </w:tc>
        <w:tc>
          <w:tcPr>
            <w:tcW w:w="341" w:type="pct"/>
            <w:noWrap/>
            <w:vAlign w:val="center"/>
            <w:hideMark/>
          </w:tcPr>
          <w:p w14:paraId="32140EB0"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468455C5"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5DDB4C9E"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41173260"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05251993" w14:textId="77777777" w:rsidTr="003B6B3C">
        <w:trPr>
          <w:trHeight w:val="292"/>
        </w:trPr>
        <w:tc>
          <w:tcPr>
            <w:tcW w:w="756" w:type="pct"/>
            <w:vMerge/>
            <w:noWrap/>
            <w:vAlign w:val="center"/>
            <w:hideMark/>
          </w:tcPr>
          <w:p w14:paraId="0515CEB0" w14:textId="779A5B4C" w:rsidR="003B6B3C" w:rsidRPr="00FA0C94" w:rsidRDefault="003B6B3C" w:rsidP="003B6B3C">
            <w:pPr>
              <w:jc w:val="center"/>
              <w:rPr>
                <w:sz w:val="20"/>
                <w:szCs w:val="20"/>
                <w:lang w:eastAsia="ro-RO"/>
              </w:rPr>
            </w:pPr>
          </w:p>
        </w:tc>
        <w:tc>
          <w:tcPr>
            <w:tcW w:w="1105" w:type="pct"/>
            <w:vMerge/>
            <w:noWrap/>
            <w:vAlign w:val="center"/>
            <w:hideMark/>
          </w:tcPr>
          <w:p w14:paraId="30A6DCC0" w14:textId="77AD6E03" w:rsidR="003B6B3C" w:rsidRPr="00FA0C94" w:rsidRDefault="003B6B3C" w:rsidP="003B6B3C">
            <w:pPr>
              <w:jc w:val="center"/>
              <w:rPr>
                <w:sz w:val="20"/>
                <w:szCs w:val="20"/>
                <w:lang w:eastAsia="ro-RO"/>
              </w:rPr>
            </w:pPr>
          </w:p>
        </w:tc>
        <w:tc>
          <w:tcPr>
            <w:tcW w:w="1775" w:type="pct"/>
            <w:noWrap/>
            <w:vAlign w:val="center"/>
            <w:hideMark/>
          </w:tcPr>
          <w:p w14:paraId="0C6F8F0A" w14:textId="77777777" w:rsidR="003B6B3C" w:rsidRPr="00FA0C94" w:rsidRDefault="003B6B3C" w:rsidP="003B6B3C">
            <w:pPr>
              <w:rPr>
                <w:sz w:val="20"/>
                <w:szCs w:val="20"/>
                <w:lang w:eastAsia="ro-RO"/>
              </w:rPr>
            </w:pPr>
            <w:r w:rsidRPr="00FA0C94">
              <w:rPr>
                <w:sz w:val="20"/>
                <w:szCs w:val="20"/>
                <w:lang w:eastAsia="ro-RO"/>
              </w:rPr>
              <w:t>Mediere școlară</w:t>
            </w:r>
          </w:p>
        </w:tc>
        <w:tc>
          <w:tcPr>
            <w:tcW w:w="341" w:type="pct"/>
            <w:noWrap/>
            <w:vAlign w:val="center"/>
            <w:hideMark/>
          </w:tcPr>
          <w:p w14:paraId="2ECF2B94"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5CC7A867"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29456E0"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3FD5B8F3"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6E988112" w14:textId="77777777" w:rsidTr="003B6B3C">
        <w:trPr>
          <w:trHeight w:val="300"/>
        </w:trPr>
        <w:tc>
          <w:tcPr>
            <w:tcW w:w="756" w:type="pct"/>
            <w:vMerge/>
            <w:noWrap/>
            <w:vAlign w:val="center"/>
            <w:hideMark/>
          </w:tcPr>
          <w:p w14:paraId="7B52C0F7" w14:textId="53626F96" w:rsidR="003B6B3C" w:rsidRPr="00FA0C94" w:rsidRDefault="003B6B3C" w:rsidP="003B6B3C">
            <w:pPr>
              <w:jc w:val="center"/>
              <w:rPr>
                <w:sz w:val="20"/>
                <w:szCs w:val="20"/>
                <w:lang w:eastAsia="ro-RO"/>
              </w:rPr>
            </w:pPr>
          </w:p>
        </w:tc>
        <w:tc>
          <w:tcPr>
            <w:tcW w:w="1105" w:type="pct"/>
            <w:vMerge/>
            <w:noWrap/>
            <w:vAlign w:val="center"/>
            <w:hideMark/>
          </w:tcPr>
          <w:p w14:paraId="30C1B626" w14:textId="025FA922" w:rsidR="003B6B3C" w:rsidRPr="00FA0C94" w:rsidRDefault="003B6B3C" w:rsidP="003B6B3C">
            <w:pPr>
              <w:jc w:val="center"/>
              <w:rPr>
                <w:sz w:val="20"/>
                <w:szCs w:val="20"/>
                <w:lang w:eastAsia="ro-RO"/>
              </w:rPr>
            </w:pPr>
          </w:p>
        </w:tc>
        <w:tc>
          <w:tcPr>
            <w:tcW w:w="1775" w:type="pct"/>
            <w:noWrap/>
            <w:vAlign w:val="center"/>
            <w:hideMark/>
          </w:tcPr>
          <w:p w14:paraId="1275915F" w14:textId="77777777" w:rsidR="003B6B3C" w:rsidRPr="00FA0C94" w:rsidRDefault="003B6B3C" w:rsidP="003B6B3C">
            <w:pPr>
              <w:rPr>
                <w:sz w:val="20"/>
                <w:szCs w:val="20"/>
                <w:lang w:eastAsia="ro-RO"/>
              </w:rPr>
            </w:pPr>
            <w:r w:rsidRPr="00FA0C94">
              <w:rPr>
                <w:sz w:val="20"/>
                <w:szCs w:val="20"/>
                <w:lang w:eastAsia="ro-RO"/>
              </w:rPr>
              <w:t>Pedagogie generală</w:t>
            </w:r>
          </w:p>
        </w:tc>
        <w:tc>
          <w:tcPr>
            <w:tcW w:w="341" w:type="pct"/>
            <w:noWrap/>
            <w:vAlign w:val="center"/>
            <w:hideMark/>
          </w:tcPr>
          <w:p w14:paraId="43569A84"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C728BD9"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016BF221"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25349DDA"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7EB9CF43" w14:textId="77777777" w:rsidTr="003B6B3C">
        <w:trPr>
          <w:trHeight w:val="300"/>
        </w:trPr>
        <w:tc>
          <w:tcPr>
            <w:tcW w:w="756" w:type="pct"/>
            <w:vMerge/>
            <w:noWrap/>
            <w:vAlign w:val="center"/>
            <w:hideMark/>
          </w:tcPr>
          <w:p w14:paraId="6B9C82D0" w14:textId="2AE83673" w:rsidR="003B6B3C" w:rsidRPr="00FA0C94" w:rsidRDefault="003B6B3C" w:rsidP="003B6B3C">
            <w:pPr>
              <w:jc w:val="center"/>
              <w:rPr>
                <w:sz w:val="20"/>
                <w:szCs w:val="20"/>
                <w:lang w:eastAsia="ro-RO"/>
              </w:rPr>
            </w:pPr>
          </w:p>
        </w:tc>
        <w:tc>
          <w:tcPr>
            <w:tcW w:w="1105" w:type="pct"/>
            <w:noWrap/>
            <w:vAlign w:val="center"/>
            <w:hideMark/>
          </w:tcPr>
          <w:p w14:paraId="6E53641D" w14:textId="77777777" w:rsidR="003B6B3C" w:rsidRPr="00FA0C94" w:rsidRDefault="003B6B3C" w:rsidP="003B6B3C">
            <w:pPr>
              <w:jc w:val="center"/>
              <w:rPr>
                <w:sz w:val="20"/>
                <w:szCs w:val="20"/>
                <w:lang w:eastAsia="ro-RO"/>
              </w:rPr>
            </w:pPr>
            <w:r w:rsidRPr="00FA0C94">
              <w:rPr>
                <w:sz w:val="20"/>
                <w:szCs w:val="20"/>
                <w:lang w:eastAsia="ro-RO"/>
              </w:rPr>
              <w:t>Sportiv</w:t>
            </w:r>
          </w:p>
        </w:tc>
        <w:tc>
          <w:tcPr>
            <w:tcW w:w="1775" w:type="pct"/>
            <w:noWrap/>
            <w:vAlign w:val="center"/>
            <w:hideMark/>
          </w:tcPr>
          <w:p w14:paraId="1034A4CC" w14:textId="77777777" w:rsidR="003B6B3C" w:rsidRPr="00FA0C94" w:rsidRDefault="003B6B3C" w:rsidP="003B6B3C">
            <w:pPr>
              <w:rPr>
                <w:sz w:val="20"/>
                <w:szCs w:val="20"/>
                <w:lang w:eastAsia="ro-RO"/>
              </w:rPr>
            </w:pPr>
            <w:r w:rsidRPr="00FA0C94">
              <w:rPr>
                <w:sz w:val="20"/>
                <w:szCs w:val="20"/>
                <w:lang w:eastAsia="ro-RO"/>
              </w:rPr>
              <w:t>Toate specializările</w:t>
            </w:r>
          </w:p>
        </w:tc>
        <w:tc>
          <w:tcPr>
            <w:tcW w:w="341" w:type="pct"/>
            <w:noWrap/>
            <w:vAlign w:val="center"/>
            <w:hideMark/>
          </w:tcPr>
          <w:p w14:paraId="4EA2EE1D"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5B95BDBA"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1A9C77B1"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7FA88316"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78A47DB9" w14:textId="77777777" w:rsidTr="003B6B3C">
        <w:trPr>
          <w:trHeight w:val="292"/>
        </w:trPr>
        <w:tc>
          <w:tcPr>
            <w:tcW w:w="756" w:type="pct"/>
            <w:vMerge/>
            <w:noWrap/>
            <w:vAlign w:val="center"/>
            <w:hideMark/>
          </w:tcPr>
          <w:p w14:paraId="39512950" w14:textId="297D9CFE" w:rsidR="003B6B3C" w:rsidRPr="00FA0C94" w:rsidRDefault="003B6B3C" w:rsidP="003B6B3C">
            <w:pPr>
              <w:jc w:val="center"/>
              <w:rPr>
                <w:sz w:val="20"/>
                <w:szCs w:val="20"/>
                <w:lang w:eastAsia="ro-RO"/>
              </w:rPr>
            </w:pPr>
          </w:p>
        </w:tc>
        <w:tc>
          <w:tcPr>
            <w:tcW w:w="1105" w:type="pct"/>
            <w:vMerge w:val="restart"/>
            <w:noWrap/>
            <w:vAlign w:val="center"/>
            <w:hideMark/>
          </w:tcPr>
          <w:p w14:paraId="79AAB228" w14:textId="77777777" w:rsidR="003B6B3C" w:rsidRPr="00FA0C94" w:rsidRDefault="003B6B3C" w:rsidP="003B6B3C">
            <w:pPr>
              <w:jc w:val="center"/>
              <w:rPr>
                <w:sz w:val="20"/>
                <w:szCs w:val="20"/>
                <w:lang w:eastAsia="ro-RO"/>
              </w:rPr>
            </w:pPr>
            <w:r w:rsidRPr="00FA0C94">
              <w:rPr>
                <w:sz w:val="20"/>
                <w:szCs w:val="20"/>
                <w:lang w:eastAsia="ro-RO"/>
              </w:rPr>
              <w:t>Teologic</w:t>
            </w:r>
          </w:p>
        </w:tc>
        <w:tc>
          <w:tcPr>
            <w:tcW w:w="1775" w:type="pct"/>
            <w:noWrap/>
            <w:vAlign w:val="center"/>
            <w:hideMark/>
          </w:tcPr>
          <w:p w14:paraId="2481AF67" w14:textId="77777777" w:rsidR="003B6B3C" w:rsidRPr="00FA0C94" w:rsidRDefault="003B6B3C" w:rsidP="003B6B3C">
            <w:pPr>
              <w:rPr>
                <w:sz w:val="20"/>
                <w:szCs w:val="20"/>
                <w:lang w:eastAsia="ro-RO"/>
              </w:rPr>
            </w:pPr>
            <w:r w:rsidRPr="00FA0C94">
              <w:rPr>
                <w:sz w:val="20"/>
                <w:szCs w:val="20"/>
                <w:lang w:eastAsia="ro-RO"/>
              </w:rPr>
              <w:t>Cultul ortodox, Teologie ortodoxă</w:t>
            </w:r>
          </w:p>
        </w:tc>
        <w:tc>
          <w:tcPr>
            <w:tcW w:w="341" w:type="pct"/>
            <w:noWrap/>
            <w:vAlign w:val="center"/>
            <w:hideMark/>
          </w:tcPr>
          <w:p w14:paraId="1E32DA76"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1FF3A4C1"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1044951"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7C7D9405" w14:textId="77777777" w:rsidR="003B6B3C" w:rsidRPr="00FA0C94" w:rsidRDefault="003B6B3C" w:rsidP="003B6B3C">
            <w:pPr>
              <w:jc w:val="center"/>
              <w:rPr>
                <w:sz w:val="20"/>
                <w:szCs w:val="20"/>
                <w:lang w:eastAsia="ro-RO"/>
              </w:rPr>
            </w:pPr>
            <w:r w:rsidRPr="00FA0C94">
              <w:rPr>
                <w:sz w:val="20"/>
                <w:szCs w:val="20"/>
                <w:lang w:eastAsia="ro-RO"/>
              </w:rPr>
              <w:t>0</w:t>
            </w:r>
          </w:p>
        </w:tc>
      </w:tr>
      <w:tr w:rsidR="003B6B3C" w:rsidRPr="00FA0C94" w14:paraId="728DB85D" w14:textId="77777777" w:rsidTr="003B6B3C">
        <w:trPr>
          <w:trHeight w:val="292"/>
        </w:trPr>
        <w:tc>
          <w:tcPr>
            <w:tcW w:w="756" w:type="pct"/>
            <w:vMerge/>
            <w:noWrap/>
            <w:vAlign w:val="center"/>
            <w:hideMark/>
          </w:tcPr>
          <w:p w14:paraId="5978106D" w14:textId="52FC8421" w:rsidR="003B6B3C" w:rsidRPr="00FA0C94" w:rsidRDefault="003B6B3C" w:rsidP="003B6B3C">
            <w:pPr>
              <w:jc w:val="center"/>
              <w:rPr>
                <w:sz w:val="20"/>
                <w:szCs w:val="20"/>
                <w:lang w:eastAsia="ro-RO"/>
              </w:rPr>
            </w:pPr>
          </w:p>
        </w:tc>
        <w:tc>
          <w:tcPr>
            <w:tcW w:w="1105" w:type="pct"/>
            <w:vMerge/>
            <w:noWrap/>
            <w:vAlign w:val="center"/>
            <w:hideMark/>
          </w:tcPr>
          <w:p w14:paraId="6E1B06ED" w14:textId="3C65C73F" w:rsidR="003B6B3C" w:rsidRPr="00FA0C94" w:rsidRDefault="003B6B3C" w:rsidP="003B6B3C">
            <w:pPr>
              <w:jc w:val="center"/>
              <w:rPr>
                <w:sz w:val="20"/>
                <w:szCs w:val="20"/>
                <w:lang w:eastAsia="ro-RO"/>
              </w:rPr>
            </w:pPr>
          </w:p>
        </w:tc>
        <w:tc>
          <w:tcPr>
            <w:tcW w:w="1775" w:type="pct"/>
            <w:noWrap/>
            <w:vAlign w:val="center"/>
            <w:hideMark/>
          </w:tcPr>
          <w:p w14:paraId="1DE5B06E" w14:textId="77777777" w:rsidR="003B6B3C" w:rsidRPr="00FA0C94" w:rsidRDefault="003B6B3C" w:rsidP="003B6B3C">
            <w:pPr>
              <w:rPr>
                <w:sz w:val="20"/>
                <w:szCs w:val="20"/>
                <w:lang w:eastAsia="ro-RO"/>
              </w:rPr>
            </w:pPr>
            <w:r w:rsidRPr="00FA0C94">
              <w:rPr>
                <w:sz w:val="20"/>
                <w:szCs w:val="20"/>
                <w:lang w:eastAsia="ro-RO"/>
              </w:rPr>
              <w:t>Cultul ortodox, Ghid turism religios</w:t>
            </w:r>
          </w:p>
        </w:tc>
        <w:tc>
          <w:tcPr>
            <w:tcW w:w="341" w:type="pct"/>
            <w:noWrap/>
            <w:vAlign w:val="center"/>
            <w:hideMark/>
          </w:tcPr>
          <w:p w14:paraId="0FAE2908"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768CCCF"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A85DDD0"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C9B72BD" w14:textId="77777777" w:rsidR="003B6B3C" w:rsidRPr="00FA0C94" w:rsidRDefault="003B6B3C" w:rsidP="003B6B3C">
            <w:pPr>
              <w:jc w:val="center"/>
              <w:rPr>
                <w:sz w:val="20"/>
                <w:szCs w:val="20"/>
                <w:lang w:eastAsia="ro-RO"/>
              </w:rPr>
            </w:pPr>
            <w:r w:rsidRPr="00FA0C94">
              <w:rPr>
                <w:sz w:val="20"/>
                <w:szCs w:val="20"/>
                <w:lang w:eastAsia="ro-RO"/>
              </w:rPr>
              <w:t>0</w:t>
            </w:r>
          </w:p>
        </w:tc>
      </w:tr>
      <w:tr w:rsidR="003B6B3C" w:rsidRPr="00FA0C94" w14:paraId="1008E4D4" w14:textId="77777777" w:rsidTr="003B6B3C">
        <w:trPr>
          <w:trHeight w:val="292"/>
        </w:trPr>
        <w:tc>
          <w:tcPr>
            <w:tcW w:w="756" w:type="pct"/>
            <w:vMerge/>
            <w:noWrap/>
            <w:vAlign w:val="center"/>
            <w:hideMark/>
          </w:tcPr>
          <w:p w14:paraId="41E6C3CB" w14:textId="27998CE3" w:rsidR="003B6B3C" w:rsidRPr="00FA0C94" w:rsidRDefault="003B6B3C" w:rsidP="003B6B3C">
            <w:pPr>
              <w:jc w:val="center"/>
              <w:rPr>
                <w:sz w:val="20"/>
                <w:szCs w:val="20"/>
                <w:lang w:eastAsia="ro-RO"/>
              </w:rPr>
            </w:pPr>
          </w:p>
        </w:tc>
        <w:tc>
          <w:tcPr>
            <w:tcW w:w="1105" w:type="pct"/>
            <w:vMerge/>
            <w:noWrap/>
            <w:vAlign w:val="center"/>
            <w:hideMark/>
          </w:tcPr>
          <w:p w14:paraId="4CF20DE6" w14:textId="48BEA181" w:rsidR="003B6B3C" w:rsidRPr="00FA0C94" w:rsidRDefault="003B6B3C" w:rsidP="003B6B3C">
            <w:pPr>
              <w:jc w:val="center"/>
              <w:rPr>
                <w:sz w:val="20"/>
                <w:szCs w:val="20"/>
                <w:lang w:eastAsia="ro-RO"/>
              </w:rPr>
            </w:pPr>
          </w:p>
        </w:tc>
        <w:tc>
          <w:tcPr>
            <w:tcW w:w="1775" w:type="pct"/>
            <w:noWrap/>
            <w:vAlign w:val="center"/>
            <w:hideMark/>
          </w:tcPr>
          <w:p w14:paraId="7D0C1182" w14:textId="77777777" w:rsidR="003B6B3C" w:rsidRPr="00FA0C94" w:rsidRDefault="003B6B3C" w:rsidP="003B6B3C">
            <w:pPr>
              <w:rPr>
                <w:sz w:val="20"/>
                <w:szCs w:val="20"/>
                <w:lang w:eastAsia="ro-RO"/>
              </w:rPr>
            </w:pPr>
            <w:r w:rsidRPr="00FA0C94">
              <w:rPr>
                <w:sz w:val="20"/>
                <w:szCs w:val="20"/>
                <w:lang w:eastAsia="ro-RO"/>
              </w:rPr>
              <w:t>Cultul ortodox, Patrimoniu cultural</w:t>
            </w:r>
          </w:p>
        </w:tc>
        <w:tc>
          <w:tcPr>
            <w:tcW w:w="341" w:type="pct"/>
            <w:noWrap/>
            <w:vAlign w:val="center"/>
            <w:hideMark/>
          </w:tcPr>
          <w:p w14:paraId="5308AA14"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0E7192DE"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361BFAB5"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A6DC419" w14:textId="77777777" w:rsidR="003B6B3C" w:rsidRPr="00FA0C94" w:rsidRDefault="003B6B3C" w:rsidP="003B6B3C">
            <w:pPr>
              <w:jc w:val="center"/>
              <w:rPr>
                <w:sz w:val="20"/>
                <w:szCs w:val="20"/>
                <w:lang w:eastAsia="ro-RO"/>
              </w:rPr>
            </w:pPr>
            <w:r w:rsidRPr="00FA0C94">
              <w:rPr>
                <w:sz w:val="20"/>
                <w:szCs w:val="20"/>
                <w:lang w:eastAsia="ro-RO"/>
              </w:rPr>
              <w:t>0</w:t>
            </w:r>
          </w:p>
        </w:tc>
      </w:tr>
      <w:tr w:rsidR="003B6B3C" w:rsidRPr="00FA0C94" w14:paraId="1E491E5B" w14:textId="77777777" w:rsidTr="003B6B3C">
        <w:trPr>
          <w:trHeight w:val="292"/>
        </w:trPr>
        <w:tc>
          <w:tcPr>
            <w:tcW w:w="756" w:type="pct"/>
            <w:vMerge/>
            <w:noWrap/>
            <w:vAlign w:val="center"/>
            <w:hideMark/>
          </w:tcPr>
          <w:p w14:paraId="403F4227" w14:textId="54469ED0" w:rsidR="003B6B3C" w:rsidRPr="00FA0C94" w:rsidRDefault="003B6B3C" w:rsidP="003B6B3C">
            <w:pPr>
              <w:jc w:val="center"/>
              <w:rPr>
                <w:sz w:val="20"/>
                <w:szCs w:val="20"/>
                <w:lang w:eastAsia="ro-RO"/>
              </w:rPr>
            </w:pPr>
          </w:p>
        </w:tc>
        <w:tc>
          <w:tcPr>
            <w:tcW w:w="1105" w:type="pct"/>
            <w:vMerge/>
            <w:noWrap/>
            <w:vAlign w:val="center"/>
            <w:hideMark/>
          </w:tcPr>
          <w:p w14:paraId="55D9A14B" w14:textId="3447804F" w:rsidR="003B6B3C" w:rsidRPr="00FA0C94" w:rsidRDefault="003B6B3C" w:rsidP="003B6B3C">
            <w:pPr>
              <w:jc w:val="center"/>
              <w:rPr>
                <w:sz w:val="20"/>
                <w:szCs w:val="20"/>
                <w:lang w:eastAsia="ro-RO"/>
              </w:rPr>
            </w:pPr>
          </w:p>
        </w:tc>
        <w:tc>
          <w:tcPr>
            <w:tcW w:w="1775" w:type="pct"/>
            <w:noWrap/>
            <w:vAlign w:val="center"/>
            <w:hideMark/>
          </w:tcPr>
          <w:p w14:paraId="190D8CE5" w14:textId="77777777" w:rsidR="003B6B3C" w:rsidRPr="00FA0C94" w:rsidRDefault="003B6B3C" w:rsidP="003B6B3C">
            <w:pPr>
              <w:rPr>
                <w:sz w:val="20"/>
                <w:szCs w:val="20"/>
                <w:lang w:eastAsia="ro-RO"/>
              </w:rPr>
            </w:pPr>
            <w:r w:rsidRPr="00FA0C94">
              <w:rPr>
                <w:sz w:val="20"/>
                <w:szCs w:val="20"/>
                <w:lang w:eastAsia="ro-RO"/>
              </w:rPr>
              <w:t>Cultul ortodox, Muzică bisericească</w:t>
            </w:r>
          </w:p>
        </w:tc>
        <w:tc>
          <w:tcPr>
            <w:tcW w:w="341" w:type="pct"/>
            <w:noWrap/>
            <w:vAlign w:val="center"/>
            <w:hideMark/>
          </w:tcPr>
          <w:p w14:paraId="37E2EE15"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17D45AA5"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48A63C90"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C6E4B3D" w14:textId="77777777" w:rsidR="003B6B3C" w:rsidRPr="00FA0C94" w:rsidRDefault="003B6B3C" w:rsidP="003B6B3C">
            <w:pPr>
              <w:jc w:val="center"/>
              <w:rPr>
                <w:sz w:val="20"/>
                <w:szCs w:val="20"/>
                <w:lang w:eastAsia="ro-RO"/>
              </w:rPr>
            </w:pPr>
            <w:r w:rsidRPr="00FA0C94">
              <w:rPr>
                <w:sz w:val="20"/>
                <w:szCs w:val="20"/>
                <w:lang w:eastAsia="ro-RO"/>
              </w:rPr>
              <w:t>0</w:t>
            </w:r>
          </w:p>
        </w:tc>
      </w:tr>
      <w:tr w:rsidR="003B6B3C" w:rsidRPr="00FA0C94" w14:paraId="0E26FE1E" w14:textId="77777777" w:rsidTr="003B6B3C">
        <w:trPr>
          <w:trHeight w:val="292"/>
        </w:trPr>
        <w:tc>
          <w:tcPr>
            <w:tcW w:w="756" w:type="pct"/>
            <w:vMerge/>
            <w:noWrap/>
            <w:vAlign w:val="center"/>
            <w:hideMark/>
          </w:tcPr>
          <w:p w14:paraId="761E4F90" w14:textId="36121C02" w:rsidR="003B6B3C" w:rsidRPr="00FA0C94" w:rsidRDefault="003B6B3C" w:rsidP="003B6B3C">
            <w:pPr>
              <w:jc w:val="center"/>
              <w:rPr>
                <w:sz w:val="20"/>
                <w:szCs w:val="20"/>
                <w:lang w:eastAsia="ro-RO"/>
              </w:rPr>
            </w:pPr>
          </w:p>
        </w:tc>
        <w:tc>
          <w:tcPr>
            <w:tcW w:w="1105" w:type="pct"/>
            <w:vMerge/>
            <w:noWrap/>
            <w:vAlign w:val="center"/>
            <w:hideMark/>
          </w:tcPr>
          <w:p w14:paraId="03DF4499" w14:textId="6FC9533D" w:rsidR="003B6B3C" w:rsidRPr="00FA0C94" w:rsidRDefault="003B6B3C" w:rsidP="003B6B3C">
            <w:pPr>
              <w:jc w:val="center"/>
              <w:rPr>
                <w:sz w:val="20"/>
                <w:szCs w:val="20"/>
                <w:lang w:eastAsia="ro-RO"/>
              </w:rPr>
            </w:pPr>
          </w:p>
        </w:tc>
        <w:tc>
          <w:tcPr>
            <w:tcW w:w="1775" w:type="pct"/>
            <w:noWrap/>
            <w:vAlign w:val="center"/>
            <w:hideMark/>
          </w:tcPr>
          <w:p w14:paraId="275749AC" w14:textId="77777777" w:rsidR="003B6B3C" w:rsidRPr="00FA0C94" w:rsidRDefault="003B6B3C" w:rsidP="003B6B3C">
            <w:pPr>
              <w:rPr>
                <w:sz w:val="20"/>
                <w:szCs w:val="20"/>
                <w:lang w:eastAsia="ro-RO"/>
              </w:rPr>
            </w:pPr>
            <w:r w:rsidRPr="00FA0C94">
              <w:rPr>
                <w:sz w:val="20"/>
                <w:szCs w:val="20"/>
                <w:lang w:eastAsia="ro-RO"/>
              </w:rPr>
              <w:t>Cultul romano-catolic, Teologie Romano-catolică</w:t>
            </w:r>
          </w:p>
        </w:tc>
        <w:tc>
          <w:tcPr>
            <w:tcW w:w="341" w:type="pct"/>
            <w:noWrap/>
            <w:vAlign w:val="center"/>
            <w:hideMark/>
          </w:tcPr>
          <w:p w14:paraId="5AB205C7"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A948944"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F62FE13"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03B9E8DC"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464244AA" w14:textId="77777777" w:rsidTr="003B6B3C">
        <w:trPr>
          <w:trHeight w:val="292"/>
        </w:trPr>
        <w:tc>
          <w:tcPr>
            <w:tcW w:w="756" w:type="pct"/>
            <w:vMerge/>
            <w:noWrap/>
            <w:vAlign w:val="center"/>
            <w:hideMark/>
          </w:tcPr>
          <w:p w14:paraId="08EF6F3D" w14:textId="198B3530" w:rsidR="003B6B3C" w:rsidRPr="00FA0C94" w:rsidRDefault="003B6B3C" w:rsidP="003B6B3C">
            <w:pPr>
              <w:jc w:val="center"/>
              <w:rPr>
                <w:sz w:val="20"/>
                <w:szCs w:val="20"/>
                <w:lang w:eastAsia="ro-RO"/>
              </w:rPr>
            </w:pPr>
          </w:p>
        </w:tc>
        <w:tc>
          <w:tcPr>
            <w:tcW w:w="1105" w:type="pct"/>
            <w:vMerge/>
            <w:noWrap/>
            <w:vAlign w:val="center"/>
            <w:hideMark/>
          </w:tcPr>
          <w:p w14:paraId="648B1C53" w14:textId="0C8426D1" w:rsidR="003B6B3C" w:rsidRPr="00FA0C94" w:rsidRDefault="003B6B3C" w:rsidP="003B6B3C">
            <w:pPr>
              <w:jc w:val="center"/>
              <w:rPr>
                <w:sz w:val="20"/>
                <w:szCs w:val="20"/>
                <w:lang w:eastAsia="ro-RO"/>
              </w:rPr>
            </w:pPr>
          </w:p>
        </w:tc>
        <w:tc>
          <w:tcPr>
            <w:tcW w:w="1775" w:type="pct"/>
            <w:noWrap/>
            <w:vAlign w:val="center"/>
            <w:hideMark/>
          </w:tcPr>
          <w:p w14:paraId="47CA7996" w14:textId="77777777" w:rsidR="003B6B3C" w:rsidRPr="00FA0C94" w:rsidRDefault="003B6B3C" w:rsidP="003B6B3C">
            <w:pPr>
              <w:rPr>
                <w:sz w:val="20"/>
                <w:szCs w:val="20"/>
                <w:lang w:eastAsia="ro-RO"/>
              </w:rPr>
            </w:pPr>
            <w:r w:rsidRPr="00FA0C94">
              <w:rPr>
                <w:sz w:val="20"/>
                <w:szCs w:val="20"/>
                <w:lang w:eastAsia="ro-RO"/>
              </w:rPr>
              <w:t>Cultul romano-catolic, Ghid turism religios</w:t>
            </w:r>
          </w:p>
        </w:tc>
        <w:tc>
          <w:tcPr>
            <w:tcW w:w="341" w:type="pct"/>
            <w:noWrap/>
            <w:vAlign w:val="center"/>
            <w:hideMark/>
          </w:tcPr>
          <w:p w14:paraId="3DA75CBD"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589D920E"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2FF9034C"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7F0036C6"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2B294398" w14:textId="77777777" w:rsidTr="003B6B3C">
        <w:trPr>
          <w:trHeight w:val="292"/>
        </w:trPr>
        <w:tc>
          <w:tcPr>
            <w:tcW w:w="756" w:type="pct"/>
            <w:vMerge/>
            <w:noWrap/>
            <w:vAlign w:val="center"/>
            <w:hideMark/>
          </w:tcPr>
          <w:p w14:paraId="7750F59C" w14:textId="44D1D221" w:rsidR="003B6B3C" w:rsidRPr="00FA0C94" w:rsidRDefault="003B6B3C" w:rsidP="003B6B3C">
            <w:pPr>
              <w:jc w:val="center"/>
              <w:rPr>
                <w:sz w:val="20"/>
                <w:szCs w:val="20"/>
                <w:lang w:eastAsia="ro-RO"/>
              </w:rPr>
            </w:pPr>
          </w:p>
        </w:tc>
        <w:tc>
          <w:tcPr>
            <w:tcW w:w="1105" w:type="pct"/>
            <w:vMerge/>
            <w:noWrap/>
            <w:vAlign w:val="center"/>
            <w:hideMark/>
          </w:tcPr>
          <w:p w14:paraId="77EB694A" w14:textId="40770A4A" w:rsidR="003B6B3C" w:rsidRPr="00FA0C94" w:rsidRDefault="003B6B3C" w:rsidP="003B6B3C">
            <w:pPr>
              <w:jc w:val="center"/>
              <w:rPr>
                <w:sz w:val="20"/>
                <w:szCs w:val="20"/>
                <w:lang w:eastAsia="ro-RO"/>
              </w:rPr>
            </w:pPr>
          </w:p>
        </w:tc>
        <w:tc>
          <w:tcPr>
            <w:tcW w:w="1775" w:type="pct"/>
            <w:noWrap/>
            <w:vAlign w:val="center"/>
            <w:hideMark/>
          </w:tcPr>
          <w:p w14:paraId="1D333365" w14:textId="77777777" w:rsidR="003B6B3C" w:rsidRPr="00FA0C94" w:rsidRDefault="003B6B3C" w:rsidP="003B6B3C">
            <w:pPr>
              <w:rPr>
                <w:sz w:val="20"/>
                <w:szCs w:val="20"/>
                <w:lang w:eastAsia="ro-RO"/>
              </w:rPr>
            </w:pPr>
            <w:r w:rsidRPr="00FA0C94">
              <w:rPr>
                <w:sz w:val="20"/>
                <w:szCs w:val="20"/>
                <w:lang w:eastAsia="ro-RO"/>
              </w:rPr>
              <w:t>Cultul greco-catolic, Teologie greco-catolică</w:t>
            </w:r>
          </w:p>
        </w:tc>
        <w:tc>
          <w:tcPr>
            <w:tcW w:w="341" w:type="pct"/>
            <w:noWrap/>
            <w:vAlign w:val="center"/>
            <w:hideMark/>
          </w:tcPr>
          <w:p w14:paraId="504778BD"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0EFDCB3"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CF2AA66"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347FF00F"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1DFE1355" w14:textId="77777777" w:rsidTr="003B6B3C">
        <w:trPr>
          <w:trHeight w:val="292"/>
        </w:trPr>
        <w:tc>
          <w:tcPr>
            <w:tcW w:w="756" w:type="pct"/>
            <w:vMerge/>
            <w:noWrap/>
            <w:vAlign w:val="center"/>
            <w:hideMark/>
          </w:tcPr>
          <w:p w14:paraId="6912F762" w14:textId="31D28B9B" w:rsidR="003B6B3C" w:rsidRPr="00FA0C94" w:rsidRDefault="003B6B3C" w:rsidP="003B6B3C">
            <w:pPr>
              <w:jc w:val="center"/>
              <w:rPr>
                <w:sz w:val="20"/>
                <w:szCs w:val="20"/>
                <w:lang w:eastAsia="ro-RO"/>
              </w:rPr>
            </w:pPr>
          </w:p>
        </w:tc>
        <w:tc>
          <w:tcPr>
            <w:tcW w:w="1105" w:type="pct"/>
            <w:vMerge/>
            <w:noWrap/>
            <w:vAlign w:val="center"/>
            <w:hideMark/>
          </w:tcPr>
          <w:p w14:paraId="17A94A4A" w14:textId="75428129" w:rsidR="003B6B3C" w:rsidRPr="00FA0C94" w:rsidRDefault="003B6B3C" w:rsidP="003B6B3C">
            <w:pPr>
              <w:jc w:val="center"/>
              <w:rPr>
                <w:sz w:val="20"/>
                <w:szCs w:val="20"/>
                <w:lang w:eastAsia="ro-RO"/>
              </w:rPr>
            </w:pPr>
          </w:p>
        </w:tc>
        <w:tc>
          <w:tcPr>
            <w:tcW w:w="1775" w:type="pct"/>
            <w:noWrap/>
            <w:vAlign w:val="center"/>
            <w:hideMark/>
          </w:tcPr>
          <w:p w14:paraId="5493AAA2" w14:textId="77777777" w:rsidR="003B6B3C" w:rsidRPr="00FA0C94" w:rsidRDefault="003B6B3C" w:rsidP="003B6B3C">
            <w:pPr>
              <w:rPr>
                <w:sz w:val="20"/>
                <w:szCs w:val="20"/>
                <w:lang w:eastAsia="ro-RO"/>
              </w:rPr>
            </w:pPr>
            <w:r w:rsidRPr="00FA0C94">
              <w:rPr>
                <w:sz w:val="20"/>
                <w:szCs w:val="20"/>
                <w:lang w:eastAsia="ro-RO"/>
              </w:rPr>
              <w:t>Cultul greco-catolic, Ghid turism religios</w:t>
            </w:r>
          </w:p>
        </w:tc>
        <w:tc>
          <w:tcPr>
            <w:tcW w:w="341" w:type="pct"/>
            <w:noWrap/>
            <w:vAlign w:val="center"/>
            <w:hideMark/>
          </w:tcPr>
          <w:p w14:paraId="4005FA12"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405749A0"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6FB044BB"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5849B052"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1BEA5D7D" w14:textId="77777777" w:rsidTr="003B6B3C">
        <w:trPr>
          <w:trHeight w:val="292"/>
        </w:trPr>
        <w:tc>
          <w:tcPr>
            <w:tcW w:w="756" w:type="pct"/>
            <w:vMerge/>
            <w:noWrap/>
            <w:vAlign w:val="center"/>
            <w:hideMark/>
          </w:tcPr>
          <w:p w14:paraId="373859AE" w14:textId="13620985" w:rsidR="003B6B3C" w:rsidRPr="00FA0C94" w:rsidRDefault="003B6B3C" w:rsidP="003B6B3C">
            <w:pPr>
              <w:jc w:val="center"/>
              <w:rPr>
                <w:sz w:val="20"/>
                <w:szCs w:val="20"/>
                <w:lang w:eastAsia="ro-RO"/>
              </w:rPr>
            </w:pPr>
          </w:p>
        </w:tc>
        <w:tc>
          <w:tcPr>
            <w:tcW w:w="1105" w:type="pct"/>
            <w:vMerge/>
            <w:noWrap/>
            <w:vAlign w:val="center"/>
            <w:hideMark/>
          </w:tcPr>
          <w:p w14:paraId="07D52BBA" w14:textId="3313DE1A" w:rsidR="003B6B3C" w:rsidRPr="00FA0C94" w:rsidRDefault="003B6B3C" w:rsidP="003B6B3C">
            <w:pPr>
              <w:jc w:val="center"/>
              <w:rPr>
                <w:sz w:val="20"/>
                <w:szCs w:val="20"/>
                <w:lang w:eastAsia="ro-RO"/>
              </w:rPr>
            </w:pPr>
          </w:p>
        </w:tc>
        <w:tc>
          <w:tcPr>
            <w:tcW w:w="1775" w:type="pct"/>
            <w:noWrap/>
            <w:vAlign w:val="center"/>
            <w:hideMark/>
          </w:tcPr>
          <w:p w14:paraId="17FB24F0" w14:textId="77777777" w:rsidR="003B6B3C" w:rsidRPr="00FA0C94" w:rsidRDefault="003B6B3C" w:rsidP="003B6B3C">
            <w:pPr>
              <w:rPr>
                <w:sz w:val="20"/>
                <w:szCs w:val="20"/>
                <w:lang w:eastAsia="ro-RO"/>
              </w:rPr>
            </w:pPr>
            <w:r w:rsidRPr="00FA0C94">
              <w:rPr>
                <w:sz w:val="20"/>
                <w:szCs w:val="20"/>
                <w:lang w:eastAsia="ro-RO"/>
              </w:rPr>
              <w:t>Cultul romano-catolic, limba maghiară, Teologie Romano-Catolică</w:t>
            </w:r>
          </w:p>
        </w:tc>
        <w:tc>
          <w:tcPr>
            <w:tcW w:w="341" w:type="pct"/>
            <w:noWrap/>
            <w:vAlign w:val="center"/>
            <w:hideMark/>
          </w:tcPr>
          <w:p w14:paraId="18C4BEAA"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4ED3516E"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1BE7C25A"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2517C4EC" w14:textId="77777777" w:rsidR="003B6B3C" w:rsidRPr="00FA0C94" w:rsidRDefault="003B6B3C" w:rsidP="003B6B3C">
            <w:pPr>
              <w:jc w:val="center"/>
              <w:rPr>
                <w:sz w:val="20"/>
                <w:szCs w:val="20"/>
                <w:lang w:eastAsia="ro-RO"/>
              </w:rPr>
            </w:pPr>
            <w:r w:rsidRPr="00FA0C94">
              <w:rPr>
                <w:sz w:val="20"/>
                <w:szCs w:val="20"/>
                <w:lang w:eastAsia="ro-RO"/>
              </w:rPr>
              <w:t>0</w:t>
            </w:r>
          </w:p>
        </w:tc>
      </w:tr>
      <w:tr w:rsidR="003B6B3C" w:rsidRPr="00FA0C94" w14:paraId="161EB1E3" w14:textId="77777777" w:rsidTr="003B6B3C">
        <w:trPr>
          <w:trHeight w:val="292"/>
        </w:trPr>
        <w:tc>
          <w:tcPr>
            <w:tcW w:w="756" w:type="pct"/>
            <w:vMerge/>
            <w:noWrap/>
            <w:vAlign w:val="center"/>
            <w:hideMark/>
          </w:tcPr>
          <w:p w14:paraId="09115064" w14:textId="1C3C5A6C" w:rsidR="003B6B3C" w:rsidRPr="00FA0C94" w:rsidRDefault="003B6B3C" w:rsidP="003B6B3C">
            <w:pPr>
              <w:jc w:val="center"/>
              <w:rPr>
                <w:sz w:val="20"/>
                <w:szCs w:val="20"/>
                <w:lang w:eastAsia="ro-RO"/>
              </w:rPr>
            </w:pPr>
          </w:p>
        </w:tc>
        <w:tc>
          <w:tcPr>
            <w:tcW w:w="1105" w:type="pct"/>
            <w:vMerge/>
            <w:noWrap/>
            <w:vAlign w:val="center"/>
            <w:hideMark/>
          </w:tcPr>
          <w:p w14:paraId="7845C6D8" w14:textId="5265A5F1" w:rsidR="003B6B3C" w:rsidRPr="00FA0C94" w:rsidRDefault="003B6B3C" w:rsidP="003B6B3C">
            <w:pPr>
              <w:jc w:val="center"/>
              <w:rPr>
                <w:sz w:val="20"/>
                <w:szCs w:val="20"/>
                <w:lang w:eastAsia="ro-RO"/>
              </w:rPr>
            </w:pPr>
          </w:p>
        </w:tc>
        <w:tc>
          <w:tcPr>
            <w:tcW w:w="1775" w:type="pct"/>
            <w:noWrap/>
            <w:vAlign w:val="center"/>
            <w:hideMark/>
          </w:tcPr>
          <w:p w14:paraId="27EA475A" w14:textId="77777777" w:rsidR="003B6B3C" w:rsidRPr="00FA0C94" w:rsidRDefault="003B6B3C" w:rsidP="003B6B3C">
            <w:pPr>
              <w:rPr>
                <w:sz w:val="20"/>
                <w:szCs w:val="20"/>
                <w:lang w:eastAsia="ro-RO"/>
              </w:rPr>
            </w:pPr>
            <w:r w:rsidRPr="00FA0C94">
              <w:rPr>
                <w:sz w:val="20"/>
                <w:szCs w:val="20"/>
                <w:lang w:eastAsia="ro-RO"/>
              </w:rPr>
              <w:t>Cultul romano-catolic, limba maghiară, Ghid turism religios</w:t>
            </w:r>
          </w:p>
        </w:tc>
        <w:tc>
          <w:tcPr>
            <w:tcW w:w="341" w:type="pct"/>
            <w:noWrap/>
            <w:vAlign w:val="center"/>
            <w:hideMark/>
          </w:tcPr>
          <w:p w14:paraId="61C01D56"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22325DB0"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0140DC91"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305A5FEC" w14:textId="77777777" w:rsidR="003B6B3C" w:rsidRPr="00FA0C94" w:rsidRDefault="003B6B3C" w:rsidP="003B6B3C">
            <w:pPr>
              <w:jc w:val="center"/>
              <w:rPr>
                <w:sz w:val="20"/>
                <w:szCs w:val="20"/>
                <w:lang w:eastAsia="ro-RO"/>
              </w:rPr>
            </w:pPr>
            <w:r w:rsidRPr="00FA0C94">
              <w:rPr>
                <w:sz w:val="20"/>
                <w:szCs w:val="20"/>
                <w:lang w:eastAsia="ro-RO"/>
              </w:rPr>
              <w:t>2</w:t>
            </w:r>
          </w:p>
        </w:tc>
      </w:tr>
      <w:tr w:rsidR="003B6B3C" w:rsidRPr="00FA0C94" w14:paraId="638AAA6D" w14:textId="77777777" w:rsidTr="003B6B3C">
        <w:trPr>
          <w:trHeight w:val="292"/>
        </w:trPr>
        <w:tc>
          <w:tcPr>
            <w:tcW w:w="756" w:type="pct"/>
            <w:vMerge/>
            <w:noWrap/>
            <w:vAlign w:val="center"/>
            <w:hideMark/>
          </w:tcPr>
          <w:p w14:paraId="329B0594" w14:textId="209BFE0C" w:rsidR="003B6B3C" w:rsidRPr="00FA0C94" w:rsidRDefault="003B6B3C" w:rsidP="003B6B3C">
            <w:pPr>
              <w:jc w:val="center"/>
              <w:rPr>
                <w:sz w:val="20"/>
                <w:szCs w:val="20"/>
                <w:lang w:eastAsia="ro-RO"/>
              </w:rPr>
            </w:pPr>
          </w:p>
        </w:tc>
        <w:tc>
          <w:tcPr>
            <w:tcW w:w="1105" w:type="pct"/>
            <w:vMerge/>
            <w:noWrap/>
            <w:vAlign w:val="center"/>
            <w:hideMark/>
          </w:tcPr>
          <w:p w14:paraId="0031D221" w14:textId="1B6DD0A1" w:rsidR="003B6B3C" w:rsidRPr="00FA0C94" w:rsidRDefault="003B6B3C" w:rsidP="003B6B3C">
            <w:pPr>
              <w:jc w:val="center"/>
              <w:rPr>
                <w:sz w:val="20"/>
                <w:szCs w:val="20"/>
                <w:lang w:eastAsia="ro-RO"/>
              </w:rPr>
            </w:pPr>
          </w:p>
        </w:tc>
        <w:tc>
          <w:tcPr>
            <w:tcW w:w="1775" w:type="pct"/>
            <w:noWrap/>
            <w:vAlign w:val="center"/>
            <w:hideMark/>
          </w:tcPr>
          <w:p w14:paraId="1256DF2C" w14:textId="77777777" w:rsidR="003B6B3C" w:rsidRPr="00FA0C94" w:rsidRDefault="003B6B3C" w:rsidP="003B6B3C">
            <w:pPr>
              <w:rPr>
                <w:sz w:val="20"/>
                <w:szCs w:val="20"/>
                <w:lang w:eastAsia="ro-RO"/>
              </w:rPr>
            </w:pPr>
            <w:r w:rsidRPr="00FA0C94">
              <w:rPr>
                <w:sz w:val="20"/>
                <w:szCs w:val="20"/>
                <w:lang w:eastAsia="ro-RO"/>
              </w:rPr>
              <w:t>Cultul reformat, Teologie reformată</w:t>
            </w:r>
          </w:p>
        </w:tc>
        <w:tc>
          <w:tcPr>
            <w:tcW w:w="341" w:type="pct"/>
            <w:noWrap/>
            <w:vAlign w:val="center"/>
            <w:hideMark/>
          </w:tcPr>
          <w:p w14:paraId="29BC4609"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36D78375"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04DAEC02"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5D9CCDA9" w14:textId="77777777" w:rsidR="003B6B3C" w:rsidRPr="00FA0C94" w:rsidRDefault="003B6B3C" w:rsidP="003B6B3C">
            <w:pPr>
              <w:jc w:val="center"/>
              <w:rPr>
                <w:sz w:val="20"/>
                <w:szCs w:val="20"/>
                <w:lang w:eastAsia="ro-RO"/>
              </w:rPr>
            </w:pPr>
            <w:r w:rsidRPr="00FA0C94">
              <w:rPr>
                <w:sz w:val="20"/>
                <w:szCs w:val="20"/>
                <w:lang w:eastAsia="ro-RO"/>
              </w:rPr>
              <w:t>0</w:t>
            </w:r>
          </w:p>
        </w:tc>
      </w:tr>
      <w:tr w:rsidR="003B6B3C" w:rsidRPr="00FA0C94" w14:paraId="67AE34D6" w14:textId="77777777" w:rsidTr="003B6B3C">
        <w:trPr>
          <w:trHeight w:val="292"/>
        </w:trPr>
        <w:tc>
          <w:tcPr>
            <w:tcW w:w="756" w:type="pct"/>
            <w:vMerge/>
            <w:noWrap/>
            <w:vAlign w:val="center"/>
            <w:hideMark/>
          </w:tcPr>
          <w:p w14:paraId="59B9163A" w14:textId="5EE961CA" w:rsidR="003B6B3C" w:rsidRPr="00FA0C94" w:rsidRDefault="003B6B3C" w:rsidP="003B6B3C">
            <w:pPr>
              <w:jc w:val="center"/>
              <w:rPr>
                <w:sz w:val="20"/>
                <w:szCs w:val="20"/>
                <w:lang w:eastAsia="ro-RO"/>
              </w:rPr>
            </w:pPr>
          </w:p>
        </w:tc>
        <w:tc>
          <w:tcPr>
            <w:tcW w:w="1105" w:type="pct"/>
            <w:vMerge/>
            <w:noWrap/>
            <w:vAlign w:val="center"/>
            <w:hideMark/>
          </w:tcPr>
          <w:p w14:paraId="2C9687DD" w14:textId="3A597027" w:rsidR="003B6B3C" w:rsidRPr="00FA0C94" w:rsidRDefault="003B6B3C" w:rsidP="003B6B3C">
            <w:pPr>
              <w:jc w:val="center"/>
              <w:rPr>
                <w:sz w:val="20"/>
                <w:szCs w:val="20"/>
                <w:lang w:eastAsia="ro-RO"/>
              </w:rPr>
            </w:pPr>
          </w:p>
        </w:tc>
        <w:tc>
          <w:tcPr>
            <w:tcW w:w="1775" w:type="pct"/>
            <w:noWrap/>
            <w:vAlign w:val="center"/>
            <w:hideMark/>
          </w:tcPr>
          <w:p w14:paraId="25E6E621" w14:textId="77777777" w:rsidR="003B6B3C" w:rsidRPr="00FA0C94" w:rsidRDefault="003B6B3C" w:rsidP="003B6B3C">
            <w:pPr>
              <w:rPr>
                <w:sz w:val="20"/>
                <w:szCs w:val="20"/>
                <w:lang w:eastAsia="ro-RO"/>
              </w:rPr>
            </w:pPr>
            <w:r w:rsidRPr="00FA0C94">
              <w:rPr>
                <w:sz w:val="20"/>
                <w:szCs w:val="20"/>
                <w:lang w:eastAsia="ro-RO"/>
              </w:rPr>
              <w:t>Cultul baptist, Teologie baptistă</w:t>
            </w:r>
          </w:p>
        </w:tc>
        <w:tc>
          <w:tcPr>
            <w:tcW w:w="341" w:type="pct"/>
            <w:noWrap/>
            <w:vAlign w:val="center"/>
            <w:hideMark/>
          </w:tcPr>
          <w:p w14:paraId="26174659"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5F28D4F"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5240CC2"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30A2805"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48F1FFC4" w14:textId="77777777" w:rsidTr="003B6B3C">
        <w:trPr>
          <w:trHeight w:val="292"/>
        </w:trPr>
        <w:tc>
          <w:tcPr>
            <w:tcW w:w="756" w:type="pct"/>
            <w:vMerge/>
            <w:noWrap/>
            <w:vAlign w:val="center"/>
            <w:hideMark/>
          </w:tcPr>
          <w:p w14:paraId="212DDAAC" w14:textId="143065FB" w:rsidR="003B6B3C" w:rsidRPr="00FA0C94" w:rsidRDefault="003B6B3C" w:rsidP="003B6B3C">
            <w:pPr>
              <w:jc w:val="center"/>
              <w:rPr>
                <w:sz w:val="20"/>
                <w:szCs w:val="20"/>
                <w:lang w:eastAsia="ro-RO"/>
              </w:rPr>
            </w:pPr>
          </w:p>
        </w:tc>
        <w:tc>
          <w:tcPr>
            <w:tcW w:w="1105" w:type="pct"/>
            <w:vMerge/>
            <w:noWrap/>
            <w:vAlign w:val="center"/>
            <w:hideMark/>
          </w:tcPr>
          <w:p w14:paraId="772AC5A8" w14:textId="1FC5118C" w:rsidR="003B6B3C" w:rsidRPr="00FA0C94" w:rsidRDefault="003B6B3C" w:rsidP="003B6B3C">
            <w:pPr>
              <w:jc w:val="center"/>
              <w:rPr>
                <w:sz w:val="20"/>
                <w:szCs w:val="20"/>
                <w:lang w:eastAsia="ro-RO"/>
              </w:rPr>
            </w:pPr>
          </w:p>
        </w:tc>
        <w:tc>
          <w:tcPr>
            <w:tcW w:w="1775" w:type="pct"/>
            <w:noWrap/>
            <w:vAlign w:val="center"/>
            <w:hideMark/>
          </w:tcPr>
          <w:p w14:paraId="3EEDC1AE" w14:textId="77777777" w:rsidR="003B6B3C" w:rsidRPr="00FA0C94" w:rsidRDefault="003B6B3C" w:rsidP="003B6B3C">
            <w:pPr>
              <w:rPr>
                <w:sz w:val="20"/>
                <w:szCs w:val="20"/>
                <w:lang w:eastAsia="ro-RO"/>
              </w:rPr>
            </w:pPr>
            <w:r w:rsidRPr="00FA0C94">
              <w:rPr>
                <w:sz w:val="20"/>
                <w:szCs w:val="20"/>
                <w:lang w:eastAsia="ro-RO"/>
              </w:rPr>
              <w:t>Cultul adventist, Teologie adventistă</w:t>
            </w:r>
          </w:p>
        </w:tc>
        <w:tc>
          <w:tcPr>
            <w:tcW w:w="341" w:type="pct"/>
            <w:noWrap/>
            <w:vAlign w:val="center"/>
            <w:hideMark/>
          </w:tcPr>
          <w:p w14:paraId="422C0F98"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F5F1CD3"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EE1A5FD"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1A9C4DB"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FA0C94" w14:paraId="03E2FC1C" w14:textId="77777777" w:rsidTr="003B6B3C">
        <w:trPr>
          <w:trHeight w:val="292"/>
        </w:trPr>
        <w:tc>
          <w:tcPr>
            <w:tcW w:w="756" w:type="pct"/>
            <w:vMerge/>
            <w:noWrap/>
            <w:vAlign w:val="center"/>
            <w:hideMark/>
          </w:tcPr>
          <w:p w14:paraId="06EDE5DD" w14:textId="663EE6A6" w:rsidR="003B6B3C" w:rsidRPr="00FA0C94" w:rsidRDefault="003B6B3C" w:rsidP="003B6B3C">
            <w:pPr>
              <w:jc w:val="center"/>
              <w:rPr>
                <w:sz w:val="20"/>
                <w:szCs w:val="20"/>
                <w:lang w:eastAsia="ro-RO"/>
              </w:rPr>
            </w:pPr>
          </w:p>
        </w:tc>
        <w:tc>
          <w:tcPr>
            <w:tcW w:w="1105" w:type="pct"/>
            <w:vMerge/>
            <w:noWrap/>
            <w:vAlign w:val="center"/>
            <w:hideMark/>
          </w:tcPr>
          <w:p w14:paraId="6F97F2B9" w14:textId="16235064" w:rsidR="003B6B3C" w:rsidRPr="00FA0C94" w:rsidRDefault="003B6B3C" w:rsidP="003B6B3C">
            <w:pPr>
              <w:jc w:val="center"/>
              <w:rPr>
                <w:sz w:val="20"/>
                <w:szCs w:val="20"/>
                <w:lang w:eastAsia="ro-RO"/>
              </w:rPr>
            </w:pPr>
          </w:p>
        </w:tc>
        <w:tc>
          <w:tcPr>
            <w:tcW w:w="1775" w:type="pct"/>
            <w:noWrap/>
            <w:vAlign w:val="center"/>
            <w:hideMark/>
          </w:tcPr>
          <w:p w14:paraId="3347A030" w14:textId="77777777" w:rsidR="003B6B3C" w:rsidRPr="00FA0C94" w:rsidRDefault="003B6B3C" w:rsidP="003B6B3C">
            <w:pPr>
              <w:rPr>
                <w:sz w:val="20"/>
                <w:szCs w:val="20"/>
                <w:lang w:eastAsia="ro-RO"/>
              </w:rPr>
            </w:pPr>
            <w:r w:rsidRPr="00FA0C94">
              <w:rPr>
                <w:sz w:val="20"/>
                <w:szCs w:val="20"/>
                <w:lang w:eastAsia="ro-RO"/>
              </w:rPr>
              <w:t>Cultul musulman, Teologie musulmană</w:t>
            </w:r>
          </w:p>
        </w:tc>
        <w:tc>
          <w:tcPr>
            <w:tcW w:w="341" w:type="pct"/>
            <w:noWrap/>
            <w:vAlign w:val="center"/>
            <w:hideMark/>
          </w:tcPr>
          <w:p w14:paraId="5DD92A60"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F3B9604"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5BF6FBEE"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2D2BC9A1" w14:textId="77777777" w:rsidR="003B6B3C" w:rsidRPr="00FA0C94" w:rsidRDefault="003B6B3C" w:rsidP="003B6B3C">
            <w:pPr>
              <w:jc w:val="center"/>
              <w:rPr>
                <w:sz w:val="20"/>
                <w:szCs w:val="20"/>
                <w:lang w:eastAsia="ro-RO"/>
              </w:rPr>
            </w:pPr>
            <w:r w:rsidRPr="00FA0C94">
              <w:rPr>
                <w:sz w:val="20"/>
                <w:szCs w:val="20"/>
                <w:lang w:eastAsia="ro-RO"/>
              </w:rPr>
              <w:t>-2</w:t>
            </w:r>
          </w:p>
        </w:tc>
      </w:tr>
      <w:tr w:rsidR="003B6B3C" w:rsidRPr="00FA0C94" w14:paraId="2E1C08D6" w14:textId="77777777" w:rsidTr="003B6B3C">
        <w:trPr>
          <w:trHeight w:val="292"/>
        </w:trPr>
        <w:tc>
          <w:tcPr>
            <w:tcW w:w="756" w:type="pct"/>
            <w:vMerge/>
            <w:noWrap/>
            <w:vAlign w:val="center"/>
            <w:hideMark/>
          </w:tcPr>
          <w:p w14:paraId="35EE70C0" w14:textId="63CFB6E3" w:rsidR="003B6B3C" w:rsidRPr="00FA0C94" w:rsidRDefault="003B6B3C" w:rsidP="003B6B3C">
            <w:pPr>
              <w:jc w:val="center"/>
              <w:rPr>
                <w:sz w:val="20"/>
                <w:szCs w:val="20"/>
                <w:lang w:eastAsia="ro-RO"/>
              </w:rPr>
            </w:pPr>
          </w:p>
        </w:tc>
        <w:tc>
          <w:tcPr>
            <w:tcW w:w="1105" w:type="pct"/>
            <w:vMerge/>
            <w:noWrap/>
            <w:vAlign w:val="center"/>
            <w:hideMark/>
          </w:tcPr>
          <w:p w14:paraId="17684088" w14:textId="32A802E6" w:rsidR="003B6B3C" w:rsidRPr="00FA0C94" w:rsidRDefault="003B6B3C" w:rsidP="003B6B3C">
            <w:pPr>
              <w:jc w:val="center"/>
              <w:rPr>
                <w:sz w:val="20"/>
                <w:szCs w:val="20"/>
                <w:lang w:eastAsia="ro-RO"/>
              </w:rPr>
            </w:pPr>
          </w:p>
        </w:tc>
        <w:tc>
          <w:tcPr>
            <w:tcW w:w="1775" w:type="pct"/>
            <w:noWrap/>
            <w:vAlign w:val="center"/>
            <w:hideMark/>
          </w:tcPr>
          <w:p w14:paraId="15805F86" w14:textId="77777777" w:rsidR="003B6B3C" w:rsidRPr="00FA0C94" w:rsidRDefault="003B6B3C" w:rsidP="003B6B3C">
            <w:pPr>
              <w:rPr>
                <w:sz w:val="20"/>
                <w:szCs w:val="20"/>
                <w:lang w:eastAsia="ro-RO"/>
              </w:rPr>
            </w:pPr>
            <w:r w:rsidRPr="00FA0C94">
              <w:rPr>
                <w:sz w:val="20"/>
                <w:szCs w:val="20"/>
                <w:lang w:eastAsia="ro-RO"/>
              </w:rPr>
              <w:t>Cultul penticostal, Teologie penticostală</w:t>
            </w:r>
          </w:p>
        </w:tc>
        <w:tc>
          <w:tcPr>
            <w:tcW w:w="341" w:type="pct"/>
            <w:noWrap/>
            <w:vAlign w:val="center"/>
            <w:hideMark/>
          </w:tcPr>
          <w:p w14:paraId="78DD6168"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5FEEC8CB"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6699F0E1"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3ABADF79" w14:textId="77777777" w:rsidR="003B6B3C" w:rsidRPr="00FA0C94" w:rsidRDefault="003B6B3C" w:rsidP="003B6B3C">
            <w:pPr>
              <w:jc w:val="center"/>
              <w:rPr>
                <w:sz w:val="20"/>
                <w:szCs w:val="20"/>
                <w:lang w:eastAsia="ro-RO"/>
              </w:rPr>
            </w:pPr>
            <w:r w:rsidRPr="00FA0C94">
              <w:rPr>
                <w:sz w:val="20"/>
                <w:szCs w:val="20"/>
                <w:lang w:eastAsia="ro-RO"/>
              </w:rPr>
              <w:t>-1</w:t>
            </w:r>
          </w:p>
        </w:tc>
      </w:tr>
      <w:tr w:rsidR="003B6B3C" w:rsidRPr="003B6B3C" w14:paraId="16314B81" w14:textId="77777777" w:rsidTr="003B6B3C">
        <w:trPr>
          <w:trHeight w:val="300"/>
        </w:trPr>
        <w:tc>
          <w:tcPr>
            <w:tcW w:w="756" w:type="pct"/>
            <w:vMerge/>
            <w:noWrap/>
            <w:vAlign w:val="center"/>
            <w:hideMark/>
          </w:tcPr>
          <w:p w14:paraId="048BD875" w14:textId="728402A0" w:rsidR="003B6B3C" w:rsidRPr="00FA0C94" w:rsidRDefault="003B6B3C" w:rsidP="003B6B3C">
            <w:pPr>
              <w:jc w:val="center"/>
              <w:rPr>
                <w:sz w:val="20"/>
                <w:szCs w:val="20"/>
                <w:lang w:eastAsia="ro-RO"/>
              </w:rPr>
            </w:pPr>
          </w:p>
        </w:tc>
        <w:tc>
          <w:tcPr>
            <w:tcW w:w="1105" w:type="pct"/>
            <w:vMerge/>
            <w:noWrap/>
            <w:vAlign w:val="center"/>
            <w:hideMark/>
          </w:tcPr>
          <w:p w14:paraId="03FBA466" w14:textId="4D65A27E" w:rsidR="003B6B3C" w:rsidRPr="00FA0C94" w:rsidRDefault="003B6B3C" w:rsidP="003B6B3C">
            <w:pPr>
              <w:jc w:val="center"/>
              <w:rPr>
                <w:sz w:val="20"/>
                <w:szCs w:val="20"/>
                <w:lang w:eastAsia="ro-RO"/>
              </w:rPr>
            </w:pPr>
          </w:p>
        </w:tc>
        <w:tc>
          <w:tcPr>
            <w:tcW w:w="1775" w:type="pct"/>
            <w:noWrap/>
            <w:vAlign w:val="center"/>
            <w:hideMark/>
          </w:tcPr>
          <w:p w14:paraId="67DE90C1" w14:textId="77777777" w:rsidR="003B6B3C" w:rsidRPr="00FA0C94" w:rsidRDefault="003B6B3C" w:rsidP="003B6B3C">
            <w:pPr>
              <w:rPr>
                <w:sz w:val="20"/>
                <w:szCs w:val="20"/>
                <w:lang w:eastAsia="ro-RO"/>
              </w:rPr>
            </w:pPr>
            <w:r w:rsidRPr="00FA0C94">
              <w:rPr>
                <w:sz w:val="20"/>
                <w:szCs w:val="20"/>
                <w:lang w:eastAsia="ro-RO"/>
              </w:rPr>
              <w:t>Cultul unitarian, Teologie unitariană</w:t>
            </w:r>
          </w:p>
        </w:tc>
        <w:tc>
          <w:tcPr>
            <w:tcW w:w="341" w:type="pct"/>
            <w:noWrap/>
            <w:vAlign w:val="center"/>
            <w:hideMark/>
          </w:tcPr>
          <w:p w14:paraId="606422B0"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7C93AD53" w14:textId="77777777" w:rsidR="003B6B3C" w:rsidRPr="00FA0C94" w:rsidRDefault="003B6B3C" w:rsidP="003B6B3C">
            <w:pPr>
              <w:jc w:val="center"/>
              <w:rPr>
                <w:sz w:val="20"/>
                <w:szCs w:val="20"/>
                <w:lang w:eastAsia="ro-RO"/>
              </w:rPr>
            </w:pPr>
            <w:r w:rsidRPr="00FA0C94">
              <w:rPr>
                <w:sz w:val="20"/>
                <w:szCs w:val="20"/>
                <w:lang w:eastAsia="ro-RO"/>
              </w:rPr>
              <w:t>0</w:t>
            </w:r>
          </w:p>
        </w:tc>
        <w:tc>
          <w:tcPr>
            <w:tcW w:w="341" w:type="pct"/>
            <w:noWrap/>
            <w:vAlign w:val="center"/>
            <w:hideMark/>
          </w:tcPr>
          <w:p w14:paraId="486D3EDD" w14:textId="77777777" w:rsidR="003B6B3C" w:rsidRPr="00FA0C94" w:rsidRDefault="003B6B3C" w:rsidP="003B6B3C">
            <w:pPr>
              <w:jc w:val="center"/>
              <w:rPr>
                <w:sz w:val="20"/>
                <w:szCs w:val="20"/>
                <w:lang w:eastAsia="ro-RO"/>
              </w:rPr>
            </w:pPr>
            <w:r w:rsidRPr="00FA0C94">
              <w:rPr>
                <w:sz w:val="20"/>
                <w:szCs w:val="20"/>
                <w:lang w:eastAsia="ro-RO"/>
              </w:rPr>
              <w:t>1</w:t>
            </w:r>
          </w:p>
        </w:tc>
        <w:tc>
          <w:tcPr>
            <w:tcW w:w="341" w:type="pct"/>
            <w:noWrap/>
            <w:vAlign w:val="center"/>
            <w:hideMark/>
          </w:tcPr>
          <w:p w14:paraId="22118BEA" w14:textId="77777777" w:rsidR="003B6B3C" w:rsidRPr="00FA0C94" w:rsidRDefault="003B6B3C" w:rsidP="003B6B3C">
            <w:pPr>
              <w:jc w:val="center"/>
              <w:rPr>
                <w:color w:val="000000" w:themeColor="text1"/>
                <w:sz w:val="20"/>
                <w:szCs w:val="20"/>
                <w:lang w:eastAsia="ro-RO"/>
              </w:rPr>
            </w:pPr>
            <w:r w:rsidRPr="00FA0C94">
              <w:rPr>
                <w:sz w:val="20"/>
                <w:szCs w:val="20"/>
                <w:lang w:eastAsia="ro-RO"/>
              </w:rPr>
              <w:t>0</w:t>
            </w:r>
          </w:p>
        </w:tc>
      </w:tr>
    </w:tbl>
    <w:p w14:paraId="17034674" w14:textId="77777777" w:rsidR="003B6B3C" w:rsidRDefault="003B6B3C" w:rsidP="003B6B3C"/>
    <w:p w14:paraId="1FF7E2E0" w14:textId="127B9C8B" w:rsidR="00375BFB" w:rsidRPr="00227046" w:rsidRDefault="00375BFB" w:rsidP="00227046"/>
    <w:sectPr w:rsidR="00375BFB" w:rsidRPr="00227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FF989" w14:textId="77777777" w:rsidR="006C6D96" w:rsidRDefault="006C6D96" w:rsidP="00CD538F">
      <w:pPr>
        <w:spacing w:after="0" w:line="240" w:lineRule="auto"/>
      </w:pPr>
      <w:r>
        <w:separator/>
      </w:r>
    </w:p>
  </w:endnote>
  <w:endnote w:type="continuationSeparator" w:id="0">
    <w:p w14:paraId="0109424F" w14:textId="77777777" w:rsidR="006C6D96" w:rsidRDefault="006C6D96" w:rsidP="00CD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D6A3F" w14:textId="77777777" w:rsidR="006C6D96" w:rsidRDefault="006C6D96" w:rsidP="00CD538F">
      <w:pPr>
        <w:spacing w:after="0" w:line="240" w:lineRule="auto"/>
      </w:pPr>
      <w:r>
        <w:separator/>
      </w:r>
    </w:p>
  </w:footnote>
  <w:footnote w:type="continuationSeparator" w:id="0">
    <w:p w14:paraId="092386E4" w14:textId="77777777" w:rsidR="006C6D96" w:rsidRDefault="006C6D96" w:rsidP="00CD5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153"/>
    <w:multiLevelType w:val="multilevel"/>
    <w:tmpl w:val="DC58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8587B"/>
    <w:multiLevelType w:val="multilevel"/>
    <w:tmpl w:val="6A34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862D4"/>
    <w:multiLevelType w:val="hybridMultilevel"/>
    <w:tmpl w:val="E7A06782"/>
    <w:lvl w:ilvl="0" w:tplc="256A94FA">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C5A7D00"/>
    <w:multiLevelType w:val="hybridMultilevel"/>
    <w:tmpl w:val="AAA626F0"/>
    <w:lvl w:ilvl="0" w:tplc="35BE4216">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33471A"/>
    <w:multiLevelType w:val="multilevel"/>
    <w:tmpl w:val="DA28F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96F4C"/>
    <w:multiLevelType w:val="multilevel"/>
    <w:tmpl w:val="F8C4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86C59"/>
    <w:multiLevelType w:val="hybridMultilevel"/>
    <w:tmpl w:val="FE441D32"/>
    <w:lvl w:ilvl="0" w:tplc="565A4094">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7193D42"/>
    <w:multiLevelType w:val="multilevel"/>
    <w:tmpl w:val="B85C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757EA"/>
    <w:multiLevelType w:val="multilevel"/>
    <w:tmpl w:val="DAE4D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6740C9"/>
    <w:multiLevelType w:val="multilevel"/>
    <w:tmpl w:val="4C1E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629E2"/>
    <w:multiLevelType w:val="multilevel"/>
    <w:tmpl w:val="0376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42A85"/>
    <w:multiLevelType w:val="multilevel"/>
    <w:tmpl w:val="B48031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E9625A"/>
    <w:multiLevelType w:val="multilevel"/>
    <w:tmpl w:val="C56EB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413770"/>
    <w:multiLevelType w:val="multilevel"/>
    <w:tmpl w:val="FA02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2E7962"/>
    <w:multiLevelType w:val="hybridMultilevel"/>
    <w:tmpl w:val="F80464CA"/>
    <w:lvl w:ilvl="0" w:tplc="9C4A41E2">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09407045">
    <w:abstractNumId w:val="2"/>
  </w:num>
  <w:num w:numId="2" w16cid:durableId="1520965232">
    <w:abstractNumId w:val="9"/>
  </w:num>
  <w:num w:numId="3" w16cid:durableId="395402207">
    <w:abstractNumId w:val="10"/>
  </w:num>
  <w:num w:numId="4" w16cid:durableId="1657223884">
    <w:abstractNumId w:val="8"/>
  </w:num>
  <w:num w:numId="5" w16cid:durableId="510342076">
    <w:abstractNumId w:val="11"/>
  </w:num>
  <w:num w:numId="6" w16cid:durableId="869301353">
    <w:abstractNumId w:val="12"/>
  </w:num>
  <w:num w:numId="7" w16cid:durableId="371006911">
    <w:abstractNumId w:val="5"/>
  </w:num>
  <w:num w:numId="8" w16cid:durableId="9189025">
    <w:abstractNumId w:val="13"/>
  </w:num>
  <w:num w:numId="9" w16cid:durableId="2046367094">
    <w:abstractNumId w:val="1"/>
  </w:num>
  <w:num w:numId="10" w16cid:durableId="2015834412">
    <w:abstractNumId w:val="0"/>
  </w:num>
  <w:num w:numId="11" w16cid:durableId="56251435">
    <w:abstractNumId w:val="4"/>
  </w:num>
  <w:num w:numId="12" w16cid:durableId="1823540482">
    <w:abstractNumId w:val="7"/>
  </w:num>
  <w:num w:numId="13" w16cid:durableId="1928074728">
    <w:abstractNumId w:val="3"/>
  </w:num>
  <w:num w:numId="14" w16cid:durableId="1076367114">
    <w:abstractNumId w:val="6"/>
  </w:num>
  <w:num w:numId="15" w16cid:durableId="19923702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EF"/>
    <w:rsid w:val="00070ADC"/>
    <w:rsid w:val="00082CEA"/>
    <w:rsid w:val="000C0B05"/>
    <w:rsid w:val="000D0C92"/>
    <w:rsid w:val="000D5097"/>
    <w:rsid w:val="00113FCD"/>
    <w:rsid w:val="00136EDE"/>
    <w:rsid w:val="00150E51"/>
    <w:rsid w:val="0015692A"/>
    <w:rsid w:val="001A15E6"/>
    <w:rsid w:val="001A68B2"/>
    <w:rsid w:val="00227046"/>
    <w:rsid w:val="0027630D"/>
    <w:rsid w:val="002C5459"/>
    <w:rsid w:val="003425A3"/>
    <w:rsid w:val="00375BFB"/>
    <w:rsid w:val="003B6B3C"/>
    <w:rsid w:val="003E4B0B"/>
    <w:rsid w:val="00417FB4"/>
    <w:rsid w:val="0043491B"/>
    <w:rsid w:val="004554C9"/>
    <w:rsid w:val="004F424D"/>
    <w:rsid w:val="005260CF"/>
    <w:rsid w:val="00526198"/>
    <w:rsid w:val="0054423A"/>
    <w:rsid w:val="005B1570"/>
    <w:rsid w:val="00614B4B"/>
    <w:rsid w:val="00627BC0"/>
    <w:rsid w:val="00666383"/>
    <w:rsid w:val="006C6D96"/>
    <w:rsid w:val="006E594F"/>
    <w:rsid w:val="007220E8"/>
    <w:rsid w:val="00774FE0"/>
    <w:rsid w:val="007B14D1"/>
    <w:rsid w:val="007B5C32"/>
    <w:rsid w:val="008004E3"/>
    <w:rsid w:val="00805936"/>
    <w:rsid w:val="008644E2"/>
    <w:rsid w:val="00881DB3"/>
    <w:rsid w:val="00891F36"/>
    <w:rsid w:val="008F0B9D"/>
    <w:rsid w:val="00954B5D"/>
    <w:rsid w:val="00971C5F"/>
    <w:rsid w:val="00A0455B"/>
    <w:rsid w:val="00AD6189"/>
    <w:rsid w:val="00AE0B25"/>
    <w:rsid w:val="00B943B5"/>
    <w:rsid w:val="00B94C65"/>
    <w:rsid w:val="00BB2F04"/>
    <w:rsid w:val="00BC47C5"/>
    <w:rsid w:val="00C24B5B"/>
    <w:rsid w:val="00C52091"/>
    <w:rsid w:val="00C72E08"/>
    <w:rsid w:val="00CA2F06"/>
    <w:rsid w:val="00CD538F"/>
    <w:rsid w:val="00D00F9A"/>
    <w:rsid w:val="00DA2095"/>
    <w:rsid w:val="00DF1F06"/>
    <w:rsid w:val="00E31A23"/>
    <w:rsid w:val="00E82094"/>
    <w:rsid w:val="00FA0C94"/>
    <w:rsid w:val="00FD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702C7"/>
  <w15:chartTrackingRefBased/>
  <w15:docId w15:val="{C62282D8-1849-453C-9ACB-BF4D04BC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B05"/>
    <w:pPr>
      <w:jc w:val="both"/>
    </w:pPr>
    <w:rPr>
      <w:rFonts w:ascii="Times New Roman" w:hAnsi="Times New Roman" w:cs="Times New Roman"/>
      <w:sz w:val="24"/>
      <w:szCs w:val="24"/>
      <w:lang w:val="ro-RO"/>
    </w:rPr>
  </w:style>
  <w:style w:type="paragraph" w:styleId="Heading1">
    <w:name w:val="heading 1"/>
    <w:basedOn w:val="Normal"/>
    <w:next w:val="Normal"/>
    <w:link w:val="Heading1Char"/>
    <w:uiPriority w:val="9"/>
    <w:qFormat/>
    <w:rsid w:val="00FD4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3E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D43E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D43E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D43E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D43E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D43E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D43E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D43E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D43E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D4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3E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D4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3E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D43EF"/>
    <w:pPr>
      <w:spacing w:before="160"/>
      <w:jc w:val="center"/>
    </w:pPr>
    <w:rPr>
      <w:i/>
      <w:iCs/>
      <w:color w:val="404040" w:themeColor="text1" w:themeTint="BF"/>
    </w:rPr>
  </w:style>
  <w:style w:type="character" w:customStyle="1" w:styleId="QuoteChar">
    <w:name w:val="Quote Char"/>
    <w:basedOn w:val="DefaultParagraphFont"/>
    <w:link w:val="Quote"/>
    <w:uiPriority w:val="29"/>
    <w:rsid w:val="00FD43EF"/>
    <w:rPr>
      <w:i/>
      <w:iCs/>
      <w:color w:val="404040" w:themeColor="text1" w:themeTint="BF"/>
      <w:lang w:val="en-GB"/>
    </w:rPr>
  </w:style>
  <w:style w:type="paragraph" w:styleId="ListParagraph">
    <w:name w:val="List Paragraph"/>
    <w:basedOn w:val="Normal"/>
    <w:uiPriority w:val="34"/>
    <w:qFormat/>
    <w:rsid w:val="00FD43EF"/>
    <w:pPr>
      <w:ind w:left="720"/>
      <w:contextualSpacing/>
    </w:pPr>
  </w:style>
  <w:style w:type="character" w:styleId="IntenseEmphasis">
    <w:name w:val="Intense Emphasis"/>
    <w:basedOn w:val="DefaultParagraphFont"/>
    <w:uiPriority w:val="21"/>
    <w:qFormat/>
    <w:rsid w:val="00FD43EF"/>
    <w:rPr>
      <w:i/>
      <w:iCs/>
      <w:color w:val="0F4761" w:themeColor="accent1" w:themeShade="BF"/>
    </w:rPr>
  </w:style>
  <w:style w:type="paragraph" w:styleId="IntenseQuote">
    <w:name w:val="Intense Quote"/>
    <w:basedOn w:val="Normal"/>
    <w:next w:val="Normal"/>
    <w:link w:val="IntenseQuoteChar"/>
    <w:uiPriority w:val="30"/>
    <w:qFormat/>
    <w:rsid w:val="00FD4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3EF"/>
    <w:rPr>
      <w:i/>
      <w:iCs/>
      <w:color w:val="0F4761" w:themeColor="accent1" w:themeShade="BF"/>
      <w:lang w:val="en-GB"/>
    </w:rPr>
  </w:style>
  <w:style w:type="character" w:styleId="IntenseReference">
    <w:name w:val="Intense Reference"/>
    <w:basedOn w:val="DefaultParagraphFont"/>
    <w:uiPriority w:val="32"/>
    <w:qFormat/>
    <w:rsid w:val="00FD43EF"/>
    <w:rPr>
      <w:b/>
      <w:bCs/>
      <w:smallCaps/>
      <w:color w:val="0F4761" w:themeColor="accent1" w:themeShade="BF"/>
      <w:spacing w:val="5"/>
    </w:rPr>
  </w:style>
  <w:style w:type="table" w:styleId="TableGrid">
    <w:name w:val="Table Grid"/>
    <w:basedOn w:val="TableNormal"/>
    <w:uiPriority w:val="39"/>
    <w:rsid w:val="003B6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38F"/>
    <w:rPr>
      <w:rFonts w:ascii="Times New Roman" w:hAnsi="Times New Roman" w:cs="Times New Roman"/>
      <w:sz w:val="24"/>
      <w:szCs w:val="24"/>
      <w:lang w:val="ro-RO"/>
    </w:rPr>
  </w:style>
  <w:style w:type="paragraph" w:styleId="Footer">
    <w:name w:val="footer"/>
    <w:basedOn w:val="Normal"/>
    <w:link w:val="FooterChar"/>
    <w:uiPriority w:val="99"/>
    <w:unhideWhenUsed/>
    <w:rsid w:val="00CD5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38F"/>
    <w:rPr>
      <w:rFonts w:ascii="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63771">
      <w:bodyDiv w:val="1"/>
      <w:marLeft w:val="0"/>
      <w:marRight w:val="0"/>
      <w:marTop w:val="0"/>
      <w:marBottom w:val="0"/>
      <w:divBdr>
        <w:top w:val="none" w:sz="0" w:space="0" w:color="auto"/>
        <w:left w:val="none" w:sz="0" w:space="0" w:color="auto"/>
        <w:bottom w:val="none" w:sz="0" w:space="0" w:color="auto"/>
        <w:right w:val="none" w:sz="0" w:space="0" w:color="auto"/>
      </w:divBdr>
    </w:div>
    <w:div w:id="1134567894">
      <w:bodyDiv w:val="1"/>
      <w:marLeft w:val="0"/>
      <w:marRight w:val="0"/>
      <w:marTop w:val="0"/>
      <w:marBottom w:val="0"/>
      <w:divBdr>
        <w:top w:val="none" w:sz="0" w:space="0" w:color="auto"/>
        <w:left w:val="none" w:sz="0" w:space="0" w:color="auto"/>
        <w:bottom w:val="none" w:sz="0" w:space="0" w:color="auto"/>
        <w:right w:val="none" w:sz="0" w:space="0" w:color="auto"/>
      </w:divBdr>
    </w:div>
    <w:div w:id="12278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Roxana Caia</cp:lastModifiedBy>
  <cp:revision>4</cp:revision>
  <dcterms:created xsi:type="dcterms:W3CDTF">2025-02-01T00:31:00Z</dcterms:created>
  <dcterms:modified xsi:type="dcterms:W3CDTF">2025-02-01T09:26:00Z</dcterms:modified>
</cp:coreProperties>
</file>